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D315" w14:textId="77777777" w:rsidR="00470C1D" w:rsidRDefault="00470C1D" w:rsidP="0051646E">
      <w:pPr>
        <w:jc w:val="center"/>
        <w:rPr>
          <w:b/>
          <w:i/>
          <w:sz w:val="24"/>
          <w:szCs w:val="24"/>
        </w:rPr>
      </w:pPr>
    </w:p>
    <w:p w14:paraId="53E5034D" w14:textId="77777777" w:rsidR="00470C1D" w:rsidRDefault="00470C1D" w:rsidP="0051646E">
      <w:pPr>
        <w:jc w:val="center"/>
        <w:rPr>
          <w:b/>
          <w:i/>
          <w:sz w:val="24"/>
          <w:szCs w:val="24"/>
        </w:rPr>
      </w:pPr>
    </w:p>
    <w:p w14:paraId="2A0DA9D4" w14:textId="2E537CBC" w:rsidR="0039310B" w:rsidRPr="0051646E" w:rsidRDefault="00C54A88" w:rsidP="0051646E">
      <w:pPr>
        <w:jc w:val="center"/>
        <w:rPr>
          <w:b/>
          <w:i/>
          <w:sz w:val="24"/>
          <w:szCs w:val="24"/>
        </w:rPr>
      </w:pPr>
      <w:r w:rsidRPr="0051646E">
        <w:rPr>
          <w:b/>
          <w:i/>
          <w:sz w:val="24"/>
          <w:szCs w:val="24"/>
        </w:rPr>
        <w:t>CALL FOR STSM APPLICATIONS</w:t>
      </w:r>
      <w:r w:rsidR="00E20321" w:rsidRPr="0051646E">
        <w:rPr>
          <w:b/>
          <w:i/>
          <w:sz w:val="24"/>
          <w:szCs w:val="24"/>
        </w:rPr>
        <w:t xml:space="preserve"> </w:t>
      </w:r>
      <w:r w:rsidRPr="0051646E">
        <w:rPr>
          <w:b/>
          <w:i/>
          <w:sz w:val="24"/>
          <w:szCs w:val="24"/>
        </w:rPr>
        <w:t xml:space="preserve">CA19145 </w:t>
      </w:r>
      <w:r w:rsidR="006E110B" w:rsidRPr="0051646E">
        <w:rPr>
          <w:b/>
          <w:i/>
          <w:sz w:val="24"/>
          <w:szCs w:val="24"/>
        </w:rPr>
        <w:t>EUROPEAN NETWORK FOR ASSURING FOOD INTEGRITY USING NON-DESTRUCTIVE SPECTRAL SENSORS (</w:t>
      </w:r>
      <w:r w:rsidR="00394958" w:rsidRPr="0051646E">
        <w:rPr>
          <w:b/>
          <w:i/>
          <w:sz w:val="24"/>
          <w:szCs w:val="24"/>
        </w:rPr>
        <w:t>SENSORFINT</w:t>
      </w:r>
      <w:r w:rsidR="006E110B" w:rsidRPr="0051646E">
        <w:rPr>
          <w:b/>
          <w:i/>
          <w:sz w:val="24"/>
          <w:szCs w:val="24"/>
        </w:rPr>
        <w:t>)</w:t>
      </w:r>
    </w:p>
    <w:p w14:paraId="62897EBE" w14:textId="77777777" w:rsidR="007B029D" w:rsidRDefault="007B029D" w:rsidP="0051646E">
      <w:pPr>
        <w:jc w:val="center"/>
        <w:rPr>
          <w:b/>
          <w:i/>
        </w:rPr>
      </w:pPr>
    </w:p>
    <w:p w14:paraId="4B97D741" w14:textId="77777777" w:rsidR="00394958" w:rsidRDefault="00394958" w:rsidP="00D51BD3">
      <w:pPr>
        <w:jc w:val="both"/>
        <w:rPr>
          <w:b/>
        </w:rPr>
      </w:pPr>
      <w:r>
        <w:rPr>
          <w:b/>
        </w:rPr>
        <w:t xml:space="preserve">GENERAL GUIDANCE FOR APPLICANTS ON SHORT TERM SCIENTIFIC MISSIONS </w:t>
      </w:r>
    </w:p>
    <w:p w14:paraId="1B29C650" w14:textId="77777777" w:rsidR="00394958" w:rsidRPr="00F74204" w:rsidRDefault="00394958" w:rsidP="00D51BD3">
      <w:pPr>
        <w:jc w:val="both"/>
        <w:rPr>
          <w:b/>
        </w:rPr>
      </w:pPr>
    </w:p>
    <w:p w14:paraId="2CA99B8B" w14:textId="77777777" w:rsidR="00394958" w:rsidRPr="00F74204" w:rsidRDefault="00394958" w:rsidP="00D51BD3">
      <w:pPr>
        <w:jc w:val="both"/>
        <w:rPr>
          <w:b/>
        </w:rPr>
      </w:pPr>
      <w:r w:rsidRPr="00F74204">
        <w:rPr>
          <w:b/>
        </w:rPr>
        <w:t>Introduction</w:t>
      </w:r>
    </w:p>
    <w:p w14:paraId="01C0EAFB" w14:textId="1959B100" w:rsidR="00394958" w:rsidRPr="005039D1" w:rsidRDefault="00394958" w:rsidP="00D51BD3">
      <w:pPr>
        <w:jc w:val="both"/>
      </w:pPr>
      <w:r w:rsidRPr="005039D1">
        <w:t xml:space="preserve">Short-term scientific missions (STSM) are </w:t>
      </w:r>
      <w:r w:rsidR="00971AE9">
        <w:t>institutional</w:t>
      </w:r>
      <w:r w:rsidRPr="005039D1">
        <w:t xml:space="preserve"> visits that allow researchers to spend a limited period of time at an institute or laboratory within another COST country</w:t>
      </w:r>
      <w:r w:rsidR="00971AE9">
        <w:t xml:space="preserve">, </w:t>
      </w:r>
      <w:r w:rsidR="0039310B">
        <w:t>accepted International Partner Country (IPC) / Near Neighbour Country (NNC)</w:t>
      </w:r>
      <w:r w:rsidR="00971AE9">
        <w:t xml:space="preserve"> institution or International Organisation</w:t>
      </w:r>
      <w:r w:rsidR="0039310B">
        <w:t xml:space="preserve"> to foster collaboration and to perform empirical research. Participation of “Early Career</w:t>
      </w:r>
      <w:r w:rsidR="00971AE9">
        <w:t xml:space="preserve"> </w:t>
      </w:r>
      <w:r w:rsidR="0039310B">
        <w:t>Investigators” (ECI) in STSM</w:t>
      </w:r>
      <w:r w:rsidR="00971AE9">
        <w:t xml:space="preserve">s is particularly encouraged. </w:t>
      </w:r>
      <w:r w:rsidRPr="005039D1">
        <w:t xml:space="preserve">The aim of STSM </w:t>
      </w:r>
      <w:r w:rsidR="00971AE9">
        <w:t>is</w:t>
      </w:r>
      <w:r w:rsidR="00971AE9" w:rsidRPr="005039D1">
        <w:t xml:space="preserve"> </w:t>
      </w:r>
      <w:r w:rsidRPr="005039D1">
        <w:t xml:space="preserve">to provide researchers with access to </w:t>
      </w:r>
      <w:r w:rsidR="00D14C80" w:rsidRPr="005039D1">
        <w:t xml:space="preserve">new research/new techniques </w:t>
      </w:r>
      <w:r w:rsidR="00C35E41">
        <w:t>relevant to SENSORFINT</w:t>
      </w:r>
      <w:r w:rsidR="00DC05A1">
        <w:t xml:space="preserve"> </w:t>
      </w:r>
      <w:r w:rsidR="00D14C80" w:rsidRPr="005039D1">
        <w:t xml:space="preserve">that may not be available in their own institution. </w:t>
      </w:r>
      <w:r w:rsidR="005F36C9">
        <w:t xml:space="preserve"> By this means STSM</w:t>
      </w:r>
      <w:r w:rsidR="00D14C80" w:rsidRPr="005039D1">
        <w:t xml:space="preserve"> can accelerate the development of </w:t>
      </w:r>
      <w:r w:rsidR="00C35E41">
        <w:t xml:space="preserve">SENSORFINT </w:t>
      </w:r>
      <w:r w:rsidR="00D14C80" w:rsidRPr="005039D1">
        <w:t>research</w:t>
      </w:r>
      <w:r w:rsidR="00C76C46">
        <w:t>, knowledge exchange</w:t>
      </w:r>
      <w:r w:rsidR="00D14C80" w:rsidRPr="005039D1">
        <w:t xml:space="preserve"> and collaboration across COST countries as well as being an important component in the individual’s personal development.</w:t>
      </w:r>
      <w:r w:rsidR="0039310B">
        <w:t xml:space="preserve"> </w:t>
      </w:r>
    </w:p>
    <w:p w14:paraId="61035D99" w14:textId="77777777" w:rsidR="00394958" w:rsidRDefault="00394958" w:rsidP="00D51BD3">
      <w:pPr>
        <w:jc w:val="both"/>
        <w:rPr>
          <w:b/>
        </w:rPr>
      </w:pPr>
    </w:p>
    <w:p w14:paraId="2A767D48" w14:textId="088EC780" w:rsidR="000C369F" w:rsidRPr="0051646E" w:rsidRDefault="000C369F" w:rsidP="00D51BD3">
      <w:pPr>
        <w:jc w:val="both"/>
        <w:rPr>
          <w:b/>
        </w:rPr>
      </w:pPr>
      <w:r w:rsidRPr="000C369F">
        <w:rPr>
          <w:b/>
        </w:rPr>
        <w:t>Important dates</w:t>
      </w:r>
    </w:p>
    <w:p w14:paraId="0D4E006E" w14:textId="5B22B91D" w:rsidR="000C369F" w:rsidRDefault="000C369F" w:rsidP="00D51BD3">
      <w:pPr>
        <w:jc w:val="both"/>
        <w:rPr>
          <w:rFonts w:eastAsia="Times New Roman" w:cs="Times New Roman"/>
        </w:rPr>
      </w:pPr>
      <w:r>
        <w:rPr>
          <w:rFonts w:eastAsia="Times New Roman" w:cs="Times New Roman"/>
          <w:b/>
          <w:bCs/>
        </w:rPr>
        <w:t>Call launched</w:t>
      </w:r>
      <w:r>
        <w:rPr>
          <w:rFonts w:eastAsia="Times New Roman" w:cs="Times New Roman"/>
        </w:rPr>
        <w:t xml:space="preserve">: </w:t>
      </w:r>
      <w:r w:rsidR="00E07C5A">
        <w:rPr>
          <w:rFonts w:eastAsia="Times New Roman" w:cs="Times New Roman"/>
        </w:rPr>
        <w:t xml:space="preserve">March </w:t>
      </w:r>
      <w:r w:rsidR="003903FA">
        <w:rPr>
          <w:rFonts w:eastAsia="Times New Roman" w:cs="Times New Roman"/>
        </w:rPr>
        <w:t>5</w:t>
      </w:r>
      <w:r w:rsidR="00E07C5A">
        <w:rPr>
          <w:rFonts w:eastAsia="Times New Roman" w:cs="Times New Roman"/>
          <w:vertAlign w:val="superscript"/>
        </w:rPr>
        <w:t>st</w:t>
      </w:r>
      <w:r>
        <w:rPr>
          <w:rFonts w:eastAsia="Times New Roman" w:cs="Times New Roman"/>
        </w:rPr>
        <w:t xml:space="preserve"> 202</w:t>
      </w:r>
      <w:r w:rsidR="00E07C5A">
        <w:rPr>
          <w:rFonts w:eastAsia="Times New Roman" w:cs="Times New Roman"/>
        </w:rPr>
        <w:t>1</w:t>
      </w:r>
    </w:p>
    <w:p w14:paraId="23EBAD3F" w14:textId="3155115D" w:rsidR="000C369F" w:rsidRDefault="000C369F" w:rsidP="00D51BD3">
      <w:pPr>
        <w:jc w:val="both"/>
        <w:rPr>
          <w:rFonts w:eastAsia="Times New Roman" w:cs="Times New Roman"/>
        </w:rPr>
      </w:pPr>
      <w:r>
        <w:rPr>
          <w:rFonts w:eastAsia="Times New Roman" w:cs="Times New Roman"/>
          <w:b/>
          <w:bCs/>
        </w:rPr>
        <w:t>Application deadline</w:t>
      </w:r>
      <w:r>
        <w:rPr>
          <w:rFonts w:eastAsia="Times New Roman" w:cs="Times New Roman"/>
        </w:rPr>
        <w:t xml:space="preserve">: </w:t>
      </w:r>
      <w:r w:rsidR="00B16579">
        <w:rPr>
          <w:rFonts w:eastAsia="Times New Roman" w:cs="Times New Roman"/>
        </w:rPr>
        <w:t xml:space="preserve">April </w:t>
      </w:r>
      <w:r w:rsidR="00AF5FD1">
        <w:rPr>
          <w:rFonts w:eastAsia="Times New Roman" w:cs="Times New Roman"/>
        </w:rPr>
        <w:t>5</w:t>
      </w:r>
      <w:r w:rsidRPr="0051646E">
        <w:rPr>
          <w:rFonts w:eastAsia="Times New Roman" w:cs="Times New Roman"/>
          <w:vertAlign w:val="superscript"/>
        </w:rPr>
        <w:t>th</w:t>
      </w:r>
      <w:r>
        <w:rPr>
          <w:rFonts w:eastAsia="Times New Roman" w:cs="Times New Roman"/>
        </w:rPr>
        <w:t xml:space="preserve"> 2021</w:t>
      </w:r>
    </w:p>
    <w:p w14:paraId="370C32F4" w14:textId="24F93637" w:rsidR="000C369F" w:rsidRDefault="000C369F" w:rsidP="00D51BD3">
      <w:pPr>
        <w:jc w:val="both"/>
        <w:rPr>
          <w:rFonts w:eastAsia="Times New Roman" w:cs="Times New Roman"/>
        </w:rPr>
      </w:pPr>
      <w:r>
        <w:rPr>
          <w:rFonts w:eastAsia="Times New Roman" w:cs="Times New Roman"/>
          <w:b/>
          <w:bCs/>
        </w:rPr>
        <w:t>Decision by the evaluation committee</w:t>
      </w:r>
      <w:r>
        <w:rPr>
          <w:rFonts w:eastAsia="Times New Roman" w:cs="Times New Roman"/>
        </w:rPr>
        <w:t xml:space="preserve">: </w:t>
      </w:r>
      <w:r w:rsidR="00AF5FD1">
        <w:rPr>
          <w:rFonts w:eastAsia="Times New Roman" w:cs="Times New Roman"/>
        </w:rPr>
        <w:t>April</w:t>
      </w:r>
      <w:r>
        <w:rPr>
          <w:rFonts w:eastAsia="Times New Roman" w:cs="Times New Roman"/>
        </w:rPr>
        <w:t xml:space="preserve"> </w:t>
      </w:r>
      <w:r w:rsidR="00AF5FD1">
        <w:rPr>
          <w:rFonts w:eastAsia="Times New Roman" w:cs="Times New Roman"/>
        </w:rPr>
        <w:t>16</w:t>
      </w:r>
      <w:r w:rsidRPr="00A670E0">
        <w:rPr>
          <w:rFonts w:eastAsia="Times New Roman" w:cs="Times New Roman"/>
          <w:vertAlign w:val="superscript"/>
        </w:rPr>
        <w:t>th</w:t>
      </w:r>
      <w:r>
        <w:rPr>
          <w:rFonts w:eastAsia="Times New Roman" w:cs="Times New Roman"/>
        </w:rPr>
        <w:t xml:space="preserve"> 2021</w:t>
      </w:r>
    </w:p>
    <w:p w14:paraId="0777D964" w14:textId="363499D6" w:rsidR="000C369F" w:rsidRDefault="000C369F" w:rsidP="00D51BD3">
      <w:pPr>
        <w:jc w:val="both"/>
        <w:rPr>
          <w:rFonts w:eastAsia="Times New Roman" w:cs="Times New Roman"/>
        </w:rPr>
      </w:pPr>
      <w:r>
        <w:rPr>
          <w:rFonts w:eastAsia="Times New Roman" w:cs="Times New Roman"/>
          <w:b/>
          <w:bCs/>
        </w:rPr>
        <w:t>The timeframe for realisation of STSM</w:t>
      </w:r>
      <w:r>
        <w:rPr>
          <w:rFonts w:eastAsia="Times New Roman" w:cs="Times New Roman"/>
        </w:rPr>
        <w:t xml:space="preserve">: between </w:t>
      </w:r>
      <w:r w:rsidR="003D69BE">
        <w:rPr>
          <w:rFonts w:eastAsia="Times New Roman" w:cs="Times New Roman"/>
        </w:rPr>
        <w:t xml:space="preserve">May </w:t>
      </w:r>
      <w:r>
        <w:rPr>
          <w:rFonts w:eastAsia="Times New Roman" w:cs="Times New Roman"/>
        </w:rPr>
        <w:t>1</w:t>
      </w:r>
      <w:r w:rsidRPr="0051646E">
        <w:rPr>
          <w:rFonts w:eastAsia="Times New Roman" w:cs="Times New Roman"/>
          <w:vertAlign w:val="superscript"/>
        </w:rPr>
        <w:t>st</w:t>
      </w:r>
      <w:r>
        <w:rPr>
          <w:rFonts w:eastAsia="Times New Roman" w:cs="Times New Roman"/>
        </w:rPr>
        <w:t xml:space="preserve"> 2021 and </w:t>
      </w:r>
      <w:r w:rsidR="003D69BE">
        <w:rPr>
          <w:rFonts w:eastAsia="Times New Roman" w:cs="Times New Roman"/>
        </w:rPr>
        <w:t>September</w:t>
      </w:r>
      <w:r>
        <w:rPr>
          <w:rFonts w:eastAsia="Times New Roman" w:cs="Times New Roman"/>
        </w:rPr>
        <w:t xml:space="preserve"> </w:t>
      </w:r>
      <w:r w:rsidR="003D69BE">
        <w:rPr>
          <w:rFonts w:eastAsia="Times New Roman" w:cs="Times New Roman"/>
        </w:rPr>
        <w:t>30</w:t>
      </w:r>
      <w:r w:rsidRPr="0051646E">
        <w:rPr>
          <w:rFonts w:eastAsia="Times New Roman" w:cs="Times New Roman"/>
          <w:vertAlign w:val="superscript"/>
        </w:rPr>
        <w:t>th</w:t>
      </w:r>
      <w:r>
        <w:rPr>
          <w:rFonts w:eastAsia="Times New Roman" w:cs="Times New Roman"/>
        </w:rPr>
        <w:t xml:space="preserve"> 2021. </w:t>
      </w:r>
      <w:r w:rsidR="005F18EB">
        <w:t xml:space="preserve">STSM will be a minimum of 5 calendar days including travel. </w:t>
      </w:r>
      <w:r>
        <w:rPr>
          <w:rFonts w:eastAsia="Times New Roman" w:cs="Times New Roman"/>
        </w:rPr>
        <w:t xml:space="preserve">The </w:t>
      </w:r>
      <w:r w:rsidR="005F18EB">
        <w:rPr>
          <w:rFonts w:eastAsia="Times New Roman" w:cs="Times New Roman"/>
        </w:rPr>
        <w:t>maximum for this call</w:t>
      </w:r>
      <w:r>
        <w:rPr>
          <w:rFonts w:eastAsia="Times New Roman" w:cs="Times New Roman"/>
        </w:rPr>
        <w:t xml:space="preserve"> is two months.</w:t>
      </w:r>
    </w:p>
    <w:p w14:paraId="4AF4689B" w14:textId="0B832A78" w:rsidR="000C369F" w:rsidRDefault="000C369F" w:rsidP="00D51BD3">
      <w:pPr>
        <w:jc w:val="both"/>
        <w:rPr>
          <w:b/>
        </w:rPr>
      </w:pPr>
      <w:r>
        <w:rPr>
          <w:rFonts w:eastAsia="Times New Roman" w:cs="Times New Roman"/>
        </w:rPr>
        <w:t>This call is open to all participants, but priority will be given to Early Career Researchers (ECIs, less than 8 years of experience from obtaining PhD). A balance between Working Groups, gender and geographical range will also be considered.</w:t>
      </w:r>
    </w:p>
    <w:p w14:paraId="0201076C" w14:textId="77777777" w:rsidR="005F18EB" w:rsidRDefault="005F18EB" w:rsidP="00D51BD3">
      <w:pPr>
        <w:jc w:val="both"/>
        <w:rPr>
          <w:b/>
        </w:rPr>
      </w:pPr>
    </w:p>
    <w:p w14:paraId="592A9C30" w14:textId="22E5586B" w:rsidR="00394958" w:rsidRDefault="00A52E74" w:rsidP="00D51BD3">
      <w:pPr>
        <w:jc w:val="both"/>
        <w:rPr>
          <w:b/>
          <w:u w:val="single"/>
        </w:rPr>
      </w:pPr>
      <w:r>
        <w:rPr>
          <w:b/>
          <w:u w:val="single"/>
        </w:rPr>
        <w:t>Scientific Topics</w:t>
      </w:r>
    </w:p>
    <w:p w14:paraId="52B6B39B" w14:textId="09DBB0D9" w:rsidR="00D14C80" w:rsidRPr="005039D1" w:rsidRDefault="00660876" w:rsidP="00D51BD3">
      <w:pPr>
        <w:jc w:val="both"/>
      </w:pPr>
      <w:r>
        <w:rPr>
          <w:rFonts w:eastAsia="Times New Roman" w:cs="Times New Roman"/>
        </w:rPr>
        <w:t>U</w:t>
      </w:r>
      <w:r w:rsidRPr="005039D1">
        <w:t>nless specifically identified</w:t>
      </w:r>
      <w:r>
        <w:t>,</w:t>
      </w:r>
      <w:r w:rsidRPr="005039D1">
        <w:t xml:space="preserve"> </w:t>
      </w:r>
      <w:r w:rsidR="00D14C80" w:rsidRPr="005039D1">
        <w:t>any STSM application</w:t>
      </w:r>
      <w:r>
        <w:t xml:space="preserve"> of candidates </w:t>
      </w:r>
      <w:r w:rsidR="00D14C80" w:rsidRPr="005039D1">
        <w:t xml:space="preserve">to SENSORFINT must </w:t>
      </w:r>
      <w:r w:rsidR="006E110B" w:rsidRPr="005039D1">
        <w:t xml:space="preserve">contribute to </w:t>
      </w:r>
      <w:r w:rsidR="00D14C80" w:rsidRPr="005039D1">
        <w:t xml:space="preserve">one or more of the following </w:t>
      </w:r>
      <w:r w:rsidR="006E110B" w:rsidRPr="005039D1">
        <w:t>themes</w:t>
      </w:r>
      <w:r>
        <w:t xml:space="preserve"> related to the scope of the Working Groups of the Action</w:t>
      </w:r>
      <w:r w:rsidR="006E110B" w:rsidRPr="005039D1">
        <w:t xml:space="preserve">: </w:t>
      </w:r>
    </w:p>
    <w:p w14:paraId="461516CD" w14:textId="4C1C1DE4" w:rsidR="00D51BD3" w:rsidRDefault="00660876" w:rsidP="00D51BD3">
      <w:pPr>
        <w:pStyle w:val="Prrafodelista"/>
        <w:numPr>
          <w:ilvl w:val="0"/>
          <w:numId w:val="1"/>
        </w:numPr>
        <w:jc w:val="both"/>
      </w:pPr>
      <w:r>
        <w:t xml:space="preserve">WG1: </w:t>
      </w:r>
      <w:r w:rsidR="006E110B" w:rsidRPr="005039D1">
        <w:t>The application of Non Destructive Spectral Sensors (NDSS) to process control and labelling within the food industry</w:t>
      </w:r>
      <w:r>
        <w:t>.</w:t>
      </w:r>
      <w:r w:rsidR="006E110B" w:rsidRPr="005039D1">
        <w:t xml:space="preserve"> </w:t>
      </w:r>
    </w:p>
    <w:p w14:paraId="321899FB" w14:textId="77777777" w:rsidR="006E110B" w:rsidRPr="005039D1" w:rsidRDefault="006E110B" w:rsidP="00D51BD3">
      <w:pPr>
        <w:pStyle w:val="Prrafodelista"/>
        <w:jc w:val="both"/>
      </w:pPr>
    </w:p>
    <w:p w14:paraId="74D7EE0C" w14:textId="6DB3A258" w:rsidR="00D51BD3" w:rsidRDefault="00660876" w:rsidP="00D51BD3">
      <w:pPr>
        <w:pStyle w:val="Prrafodelista"/>
        <w:numPr>
          <w:ilvl w:val="0"/>
          <w:numId w:val="1"/>
        </w:numPr>
        <w:jc w:val="both"/>
      </w:pPr>
      <w:r>
        <w:t xml:space="preserve">WG2: </w:t>
      </w:r>
      <w:r w:rsidR="005039D1" w:rsidRPr="005039D1">
        <w:t xml:space="preserve">Research </w:t>
      </w:r>
      <w:r w:rsidR="005039D1">
        <w:t>looking at integrating several NDSS signals for food integrity applications</w:t>
      </w:r>
      <w:r>
        <w:t>.</w:t>
      </w:r>
    </w:p>
    <w:p w14:paraId="1AD44796" w14:textId="77777777" w:rsidR="005039D1" w:rsidRDefault="005039D1" w:rsidP="00D51BD3">
      <w:pPr>
        <w:pStyle w:val="Prrafodelista"/>
        <w:jc w:val="both"/>
      </w:pPr>
    </w:p>
    <w:p w14:paraId="5CCAF778" w14:textId="1F68071A" w:rsidR="00D51BD3" w:rsidRDefault="00660876" w:rsidP="00D51BD3">
      <w:pPr>
        <w:pStyle w:val="Prrafodelista"/>
        <w:numPr>
          <w:ilvl w:val="0"/>
          <w:numId w:val="1"/>
        </w:numPr>
        <w:jc w:val="both"/>
      </w:pPr>
      <w:r>
        <w:t xml:space="preserve">WG3: </w:t>
      </w:r>
      <w:r w:rsidR="005039D1">
        <w:t>Developing novel algorithms and methods for processing NDSS in real time</w:t>
      </w:r>
      <w:r>
        <w:t>.</w:t>
      </w:r>
    </w:p>
    <w:p w14:paraId="71849659" w14:textId="77777777" w:rsidR="005039D1" w:rsidRDefault="005039D1" w:rsidP="00D51BD3">
      <w:pPr>
        <w:pStyle w:val="Prrafodelista"/>
        <w:jc w:val="both"/>
      </w:pPr>
    </w:p>
    <w:p w14:paraId="0688D9C8" w14:textId="3FF59F4A" w:rsidR="005039D1" w:rsidRDefault="00660876" w:rsidP="00D51BD3">
      <w:pPr>
        <w:pStyle w:val="Prrafodelista"/>
        <w:numPr>
          <w:ilvl w:val="0"/>
          <w:numId w:val="1"/>
        </w:numPr>
        <w:jc w:val="both"/>
      </w:pPr>
      <w:r>
        <w:t xml:space="preserve">WG4: </w:t>
      </w:r>
      <w:r w:rsidR="005039D1">
        <w:t>The use of information and Communication Technologies (ICT) in building decision support systems for the industrial implementation of NDSS.</w:t>
      </w:r>
    </w:p>
    <w:p w14:paraId="75480F5E" w14:textId="77777777" w:rsidR="00660876" w:rsidRDefault="00660876" w:rsidP="0051646E">
      <w:pPr>
        <w:pStyle w:val="Prrafodelista"/>
        <w:jc w:val="both"/>
      </w:pPr>
    </w:p>
    <w:p w14:paraId="455BFEBA" w14:textId="73A4EC41" w:rsidR="00660876" w:rsidRDefault="00660876" w:rsidP="00D51BD3">
      <w:pPr>
        <w:pStyle w:val="Prrafodelista"/>
        <w:numPr>
          <w:ilvl w:val="0"/>
          <w:numId w:val="1"/>
        </w:numPr>
        <w:jc w:val="both"/>
      </w:pPr>
      <w:r>
        <w:t xml:space="preserve">WG5: </w:t>
      </w:r>
      <w:r w:rsidR="00EC3035">
        <w:t>Dissemination and exploitation.</w:t>
      </w:r>
    </w:p>
    <w:p w14:paraId="5D79CDDB" w14:textId="77777777" w:rsidR="005F18EB" w:rsidRDefault="005F18EB" w:rsidP="0051646E">
      <w:pPr>
        <w:jc w:val="both"/>
      </w:pPr>
      <w:r>
        <w:t>Each successful STSM grantee will have identified an output report, agreed by the STM committee that will need to be completed in full and to the required standard before receiving full reimbursement of expenses. Each STSM grant needs to be completed in its entirety within the single grant period.</w:t>
      </w:r>
    </w:p>
    <w:p w14:paraId="0C8914C3" w14:textId="77777777" w:rsidR="00C54A88" w:rsidRDefault="00C54A88" w:rsidP="00D51BD3">
      <w:pPr>
        <w:jc w:val="both"/>
        <w:rPr>
          <w:b/>
        </w:rPr>
      </w:pPr>
    </w:p>
    <w:p w14:paraId="62A765A8" w14:textId="77777777" w:rsidR="005039D1" w:rsidRPr="0051646E" w:rsidRDefault="00C35E41" w:rsidP="00D51BD3">
      <w:pPr>
        <w:jc w:val="both"/>
        <w:rPr>
          <w:b/>
        </w:rPr>
      </w:pPr>
      <w:r w:rsidRPr="0051646E">
        <w:rPr>
          <w:b/>
        </w:rPr>
        <w:t>Financial support</w:t>
      </w:r>
    </w:p>
    <w:p w14:paraId="3DDFDDA4" w14:textId="3BAB7A86" w:rsidR="00173882" w:rsidRDefault="00173882" w:rsidP="00D51BD3">
      <w:pPr>
        <w:jc w:val="both"/>
      </w:pPr>
      <w:r w:rsidRPr="0051646E">
        <w:t>The STSM grant is used to cover costs of travel and subsistence. The financial support should be viewed as a contribution to the costs of the mission and may not cover all costs.</w:t>
      </w:r>
      <w:r>
        <w:t xml:space="preserve"> This comprises:</w:t>
      </w:r>
    </w:p>
    <w:p w14:paraId="5A2B7540" w14:textId="10DD83CA" w:rsidR="000B08FF" w:rsidRDefault="002355D2" w:rsidP="000B08FF">
      <w:pPr>
        <w:pStyle w:val="Prrafodelista"/>
        <w:numPr>
          <w:ilvl w:val="0"/>
          <w:numId w:val="4"/>
        </w:numPr>
        <w:jc w:val="both"/>
      </w:pPr>
      <w:r>
        <w:t>Each individual STSM is a contribution up to a maximum of EUR 2000 for each applicant</w:t>
      </w:r>
      <w:r w:rsidR="000B08FF">
        <w:t>.</w:t>
      </w:r>
    </w:p>
    <w:p w14:paraId="04742595" w14:textId="4888BECA" w:rsidR="00C76C46" w:rsidRDefault="00C76C46" w:rsidP="0051646E">
      <w:pPr>
        <w:pStyle w:val="Prrafodelista"/>
        <w:numPr>
          <w:ilvl w:val="0"/>
          <w:numId w:val="4"/>
        </w:numPr>
        <w:jc w:val="both"/>
      </w:pPr>
      <w:r>
        <w:t>A maximum of EUR 160 per day for subsistence (accommodation and meals) costs</w:t>
      </w:r>
      <w:r w:rsidR="00040027">
        <w:t>.</w:t>
      </w:r>
    </w:p>
    <w:p w14:paraId="6C83895B" w14:textId="77777777" w:rsidR="005F36C9" w:rsidRDefault="005F36C9" w:rsidP="00D51BD3">
      <w:pPr>
        <w:jc w:val="both"/>
        <w:rPr>
          <w:b/>
          <w:u w:val="single"/>
        </w:rPr>
      </w:pPr>
    </w:p>
    <w:p w14:paraId="0D3959A7" w14:textId="77777777" w:rsidR="005039D1" w:rsidRPr="00053B27" w:rsidRDefault="005039D1" w:rsidP="00D51BD3">
      <w:pPr>
        <w:jc w:val="both"/>
        <w:rPr>
          <w:b/>
          <w:u w:val="single"/>
        </w:rPr>
      </w:pPr>
      <w:r w:rsidRPr="00053B27">
        <w:rPr>
          <w:b/>
          <w:u w:val="single"/>
        </w:rPr>
        <w:t>Eligibility</w:t>
      </w:r>
      <w:r w:rsidR="00C76C46" w:rsidRPr="00053B27">
        <w:rPr>
          <w:b/>
          <w:u w:val="single"/>
        </w:rPr>
        <w:t xml:space="preserve"> (See </w:t>
      </w:r>
      <w:hyperlink r:id="rId7" w:history="1">
        <w:r w:rsidR="00C76C46" w:rsidRPr="00053B27">
          <w:rPr>
            <w:rStyle w:val="Hipervnculo"/>
            <w:b/>
          </w:rPr>
          <w:t>https://www.cost.eu/wp-content/uploads/2020/06/Vademecum-V8-1-May-20202.pdf</w:t>
        </w:r>
      </w:hyperlink>
      <w:r w:rsidR="00C76C46" w:rsidRPr="00053B27">
        <w:rPr>
          <w:b/>
          <w:u w:val="single"/>
        </w:rPr>
        <w:t xml:space="preserve"> for full details)</w:t>
      </w:r>
    </w:p>
    <w:p w14:paraId="6C311D3A" w14:textId="77777777" w:rsidR="005039D1" w:rsidRDefault="005039D1" w:rsidP="00D51BD3">
      <w:pPr>
        <w:jc w:val="both"/>
      </w:pPr>
      <w:r>
        <w:t>STSM are available to early, mid and established career researchers from COST countries who satisfy the following criteria</w:t>
      </w:r>
      <w:r w:rsidR="00C35E41">
        <w:t>:</w:t>
      </w:r>
      <w:r w:rsidR="00053B27">
        <w:t xml:space="preserve"> STSM applicants shall be engaged in an official research programme as a PhD Student or postdoctoral fellow or can be employed by, or affiliated to, an institution, organisation or legal entity which has within its remit a clear association with performing research.</w:t>
      </w:r>
    </w:p>
    <w:p w14:paraId="7F7033DA" w14:textId="77777777" w:rsidR="0051646E" w:rsidRDefault="0051646E" w:rsidP="0051646E">
      <w:pPr>
        <w:jc w:val="both"/>
      </w:pPr>
    </w:p>
    <w:p w14:paraId="3438E05A" w14:textId="52D658A0" w:rsidR="0051646E" w:rsidRPr="007A2CDB" w:rsidRDefault="0051646E" w:rsidP="0051646E">
      <w:pPr>
        <w:jc w:val="both"/>
        <w:rPr>
          <w:b/>
        </w:rPr>
      </w:pPr>
      <w:r w:rsidRPr="007A2CDB">
        <w:rPr>
          <w:b/>
        </w:rPr>
        <w:t>How to apply</w:t>
      </w:r>
    </w:p>
    <w:p w14:paraId="7825B278" w14:textId="4D34CE2D" w:rsidR="0051646E" w:rsidRDefault="0051646E" w:rsidP="0051646E">
      <w:pPr>
        <w:jc w:val="both"/>
      </w:pPr>
      <w:r>
        <w:t>The applicant should complete:</w:t>
      </w:r>
    </w:p>
    <w:p w14:paraId="593C904A" w14:textId="543DAFE9" w:rsidR="0051646E" w:rsidRDefault="0051646E" w:rsidP="007A2CDB">
      <w:pPr>
        <w:pStyle w:val="Prrafodelista"/>
        <w:numPr>
          <w:ilvl w:val="0"/>
          <w:numId w:val="4"/>
        </w:numPr>
        <w:jc w:val="both"/>
      </w:pPr>
      <w:r>
        <w:t>A fully completed COST STSM application form</w:t>
      </w:r>
      <w:r w:rsidR="00910B90">
        <w:t xml:space="preserve"> (see the template)</w:t>
      </w:r>
    </w:p>
    <w:p w14:paraId="037859E7" w14:textId="74A71CFE" w:rsidR="0051646E" w:rsidRDefault="0051646E" w:rsidP="007A2CDB">
      <w:pPr>
        <w:pStyle w:val="Prrafodelista"/>
        <w:numPr>
          <w:ilvl w:val="0"/>
          <w:numId w:val="4"/>
        </w:numPr>
        <w:jc w:val="both"/>
      </w:pPr>
      <w:r>
        <w:t>A motivation letter</w:t>
      </w:r>
    </w:p>
    <w:p w14:paraId="49B33F45" w14:textId="7C8F1E9E" w:rsidR="00DB37C5" w:rsidRDefault="00DB37C5" w:rsidP="007A2CDB">
      <w:pPr>
        <w:pStyle w:val="Prrafodelista"/>
        <w:numPr>
          <w:ilvl w:val="0"/>
          <w:numId w:val="4"/>
        </w:numPr>
        <w:jc w:val="both"/>
      </w:pPr>
      <w:r>
        <w:t>A work plan</w:t>
      </w:r>
    </w:p>
    <w:p w14:paraId="3B1D9F6D" w14:textId="732F6BA3" w:rsidR="0051646E" w:rsidRDefault="0051646E" w:rsidP="007A2CDB">
      <w:pPr>
        <w:pStyle w:val="Prrafodelista"/>
        <w:numPr>
          <w:ilvl w:val="0"/>
          <w:numId w:val="4"/>
        </w:numPr>
        <w:jc w:val="both"/>
      </w:pPr>
      <w:r>
        <w:t>Applicant CV (reduced version 4 pages maximum)</w:t>
      </w:r>
    </w:p>
    <w:p w14:paraId="7A79EE63" w14:textId="30B05500" w:rsidR="0051646E" w:rsidRDefault="0051646E" w:rsidP="007A2CDB">
      <w:pPr>
        <w:pStyle w:val="Prrafodelista"/>
        <w:numPr>
          <w:ilvl w:val="0"/>
          <w:numId w:val="4"/>
        </w:numPr>
        <w:jc w:val="both"/>
      </w:pPr>
      <w:r>
        <w:t>An agreement with the host institution.</w:t>
      </w:r>
    </w:p>
    <w:p w14:paraId="32BB4B58" w14:textId="77B9A987" w:rsidR="0051646E" w:rsidRDefault="0051646E" w:rsidP="007A2CDB">
      <w:pPr>
        <w:pStyle w:val="Prrafodelista"/>
        <w:numPr>
          <w:ilvl w:val="0"/>
          <w:numId w:val="4"/>
        </w:numPr>
        <w:jc w:val="both"/>
      </w:pPr>
      <w:r>
        <w:t>A letter of support from the home institution.</w:t>
      </w:r>
    </w:p>
    <w:p w14:paraId="602D8CD6" w14:textId="1A2A7A17" w:rsidR="0051646E" w:rsidRDefault="000B08FF" w:rsidP="007A2CDB">
      <w:pPr>
        <w:pStyle w:val="Prrafodelista"/>
        <w:numPr>
          <w:ilvl w:val="0"/>
          <w:numId w:val="4"/>
        </w:numPr>
        <w:jc w:val="both"/>
      </w:pPr>
      <w:r>
        <w:t>F</w:t>
      </w:r>
      <w:r w:rsidR="0051646E">
        <w:t>inancial data (amount for travel and subsistence). Please calculate the subsistence amount depending on the host country.</w:t>
      </w:r>
    </w:p>
    <w:p w14:paraId="4E80DE36" w14:textId="5A04B8EE" w:rsidR="0051646E" w:rsidRDefault="007A2CDB" w:rsidP="0051646E">
      <w:pPr>
        <w:jc w:val="both"/>
      </w:pPr>
      <w:r>
        <w:t>This information must be submit</w:t>
      </w:r>
      <w:r w:rsidR="000B08FF">
        <w:t>ted</w:t>
      </w:r>
      <w:r>
        <w:t xml:space="preserve"> via the online application and to the following persons by email:</w:t>
      </w:r>
    </w:p>
    <w:p w14:paraId="5A7326BF" w14:textId="3960A650" w:rsidR="0051646E" w:rsidRDefault="0051646E" w:rsidP="007A2CDB">
      <w:pPr>
        <w:ind w:firstLine="720"/>
        <w:jc w:val="both"/>
      </w:pPr>
      <w:r>
        <w:t>The Chair of the COST Action</w:t>
      </w:r>
      <w:r w:rsidR="007A2CDB">
        <w:t xml:space="preserve"> (Prof. Lola Pérez Marín</w:t>
      </w:r>
      <w:r w:rsidR="00983C9E">
        <w:t>,</w:t>
      </w:r>
      <w:r w:rsidR="007A2CDB">
        <w:t xml:space="preserve"> dcperez@uco.es)</w:t>
      </w:r>
    </w:p>
    <w:p w14:paraId="0EA243EF" w14:textId="4F81D052" w:rsidR="0051646E" w:rsidRDefault="0051646E" w:rsidP="007A2CDB">
      <w:pPr>
        <w:ind w:firstLine="720"/>
        <w:jc w:val="both"/>
      </w:pPr>
      <w:r>
        <w:lastRenderedPageBreak/>
        <w:t>The Vice Chair</w:t>
      </w:r>
      <w:r w:rsidR="007A2CDB">
        <w:t xml:space="preserve"> (Prof. Tom </w:t>
      </w:r>
      <w:proofErr w:type="spellStart"/>
      <w:r w:rsidR="007A2CDB">
        <w:t>Fearn</w:t>
      </w:r>
      <w:proofErr w:type="spellEnd"/>
      <w:r w:rsidR="007A2CDB">
        <w:t xml:space="preserve">, </w:t>
      </w:r>
      <w:r w:rsidR="007A2CDB" w:rsidRPr="007A2CDB">
        <w:t>t.fearn@ucl.ac.uk</w:t>
      </w:r>
      <w:r w:rsidR="007A2CDB">
        <w:t>)</w:t>
      </w:r>
    </w:p>
    <w:p w14:paraId="74001839" w14:textId="34C02A20" w:rsidR="0051646E" w:rsidRDefault="0051646E" w:rsidP="007A2CDB">
      <w:pPr>
        <w:ind w:firstLine="720"/>
        <w:jc w:val="both"/>
      </w:pPr>
      <w:r>
        <w:t>The STSM coordinator</w:t>
      </w:r>
      <w:r w:rsidR="007A2CDB">
        <w:t xml:space="preserve"> (Prof. Paul Brereton, </w:t>
      </w:r>
      <w:r w:rsidR="00286204" w:rsidRPr="00286204">
        <w:t>paul.brereton@qub.ac.uk</w:t>
      </w:r>
      <w:r w:rsidR="00286204">
        <w:t>)</w:t>
      </w:r>
    </w:p>
    <w:p w14:paraId="1DD25160" w14:textId="77777777" w:rsidR="0051646E" w:rsidRDefault="0051646E" w:rsidP="00D51BD3">
      <w:pPr>
        <w:jc w:val="both"/>
      </w:pPr>
    </w:p>
    <w:p w14:paraId="194BF80D" w14:textId="77777777" w:rsidR="0051646E" w:rsidRDefault="0051646E" w:rsidP="00D51BD3">
      <w:pPr>
        <w:jc w:val="both"/>
      </w:pPr>
    </w:p>
    <w:p w14:paraId="1D0EC153" w14:textId="77777777" w:rsidR="00A20CA8" w:rsidRPr="004705EB" w:rsidRDefault="00A20CA8" w:rsidP="00D51BD3">
      <w:pPr>
        <w:jc w:val="both"/>
        <w:rPr>
          <w:b/>
        </w:rPr>
      </w:pPr>
    </w:p>
    <w:p w14:paraId="6C22A602" w14:textId="65F5F200" w:rsidR="00A4574D" w:rsidRPr="00287469" w:rsidRDefault="00A20CA8" w:rsidP="00D51BD3">
      <w:pPr>
        <w:jc w:val="both"/>
        <w:rPr>
          <w:b/>
        </w:rPr>
      </w:pPr>
      <w:r w:rsidRPr="004705EB">
        <w:rPr>
          <w:b/>
        </w:rPr>
        <w:t xml:space="preserve">Evaluation criteria  </w:t>
      </w:r>
    </w:p>
    <w:tbl>
      <w:tblPr>
        <w:tblStyle w:val="Tablaconcuadrcula"/>
        <w:tblW w:w="0" w:type="auto"/>
        <w:tblLook w:val="04A0" w:firstRow="1" w:lastRow="0" w:firstColumn="1" w:lastColumn="0" w:noHBand="0" w:noVBand="1"/>
      </w:tblPr>
      <w:tblGrid>
        <w:gridCol w:w="7338"/>
        <w:gridCol w:w="1559"/>
      </w:tblGrid>
      <w:tr w:rsidR="00A4574D" w14:paraId="795A8335" w14:textId="77777777" w:rsidTr="004755A8">
        <w:tc>
          <w:tcPr>
            <w:tcW w:w="7338" w:type="dxa"/>
          </w:tcPr>
          <w:p w14:paraId="6CC1D2F3" w14:textId="08636C31" w:rsidR="00A4574D" w:rsidRPr="00A4574D" w:rsidRDefault="00A4574D" w:rsidP="004755A8">
            <w:pPr>
              <w:pStyle w:val="Prrafodelista"/>
              <w:numPr>
                <w:ilvl w:val="0"/>
                <w:numId w:val="3"/>
              </w:numPr>
              <w:jc w:val="both"/>
              <w:rPr>
                <w:u w:val="single"/>
              </w:rPr>
            </w:pPr>
            <w:r>
              <w:t>Scientific quality excellence</w:t>
            </w:r>
          </w:p>
        </w:tc>
        <w:tc>
          <w:tcPr>
            <w:tcW w:w="1559" w:type="dxa"/>
          </w:tcPr>
          <w:p w14:paraId="62C6A2A5" w14:textId="2751C5A4" w:rsidR="00A4574D" w:rsidRDefault="00A4574D" w:rsidP="00D51BD3">
            <w:pPr>
              <w:jc w:val="both"/>
              <w:rPr>
                <w:u w:val="single"/>
              </w:rPr>
            </w:pPr>
            <w:r>
              <w:rPr>
                <w:u w:val="single"/>
              </w:rPr>
              <w:t>20</w:t>
            </w:r>
            <w:r w:rsidR="00AD7923">
              <w:rPr>
                <w:u w:val="single"/>
              </w:rPr>
              <w:t xml:space="preserve"> %</w:t>
            </w:r>
          </w:p>
        </w:tc>
      </w:tr>
      <w:tr w:rsidR="00A4574D" w14:paraId="65CF3A7F" w14:textId="77777777" w:rsidTr="004755A8">
        <w:tc>
          <w:tcPr>
            <w:tcW w:w="7338" w:type="dxa"/>
          </w:tcPr>
          <w:p w14:paraId="20687E58" w14:textId="36C2B34D" w:rsidR="00A4574D" w:rsidRPr="00A4574D" w:rsidRDefault="00A4574D" w:rsidP="004755A8">
            <w:pPr>
              <w:pStyle w:val="Prrafodelista"/>
              <w:numPr>
                <w:ilvl w:val="0"/>
                <w:numId w:val="3"/>
              </w:numPr>
              <w:jc w:val="both"/>
              <w:rPr>
                <w:u w:val="single"/>
              </w:rPr>
            </w:pPr>
            <w:r>
              <w:t xml:space="preserve">Benefit to </w:t>
            </w:r>
            <w:proofErr w:type="spellStart"/>
            <w:r>
              <w:t>SensorFint</w:t>
            </w:r>
            <w:proofErr w:type="spellEnd"/>
            <w:r>
              <w:t xml:space="preserve"> objectives</w:t>
            </w:r>
            <w:r>
              <w:tab/>
            </w:r>
          </w:p>
        </w:tc>
        <w:tc>
          <w:tcPr>
            <w:tcW w:w="1559" w:type="dxa"/>
          </w:tcPr>
          <w:p w14:paraId="63C3B3A2" w14:textId="0717DDAD" w:rsidR="00A4574D" w:rsidRDefault="00A4574D" w:rsidP="00D51BD3">
            <w:pPr>
              <w:jc w:val="both"/>
              <w:rPr>
                <w:u w:val="single"/>
              </w:rPr>
            </w:pPr>
            <w:r>
              <w:rPr>
                <w:u w:val="single"/>
              </w:rPr>
              <w:t>20</w:t>
            </w:r>
            <w:r w:rsidR="00AD7923">
              <w:rPr>
                <w:u w:val="single"/>
              </w:rPr>
              <w:t xml:space="preserve"> %</w:t>
            </w:r>
          </w:p>
        </w:tc>
      </w:tr>
      <w:tr w:rsidR="00A4574D" w14:paraId="68F0ECF3" w14:textId="77777777" w:rsidTr="004755A8">
        <w:tc>
          <w:tcPr>
            <w:tcW w:w="7338" w:type="dxa"/>
          </w:tcPr>
          <w:p w14:paraId="5A040283" w14:textId="2EF68C3E" w:rsidR="00A4574D" w:rsidRPr="00A4574D" w:rsidRDefault="00A4574D" w:rsidP="004755A8">
            <w:pPr>
              <w:pStyle w:val="Prrafodelista"/>
              <w:numPr>
                <w:ilvl w:val="0"/>
                <w:numId w:val="3"/>
              </w:numPr>
              <w:jc w:val="both"/>
              <w:rPr>
                <w:u w:val="single"/>
              </w:rPr>
            </w:pPr>
            <w:r>
              <w:t>Training benefit for the applicant</w:t>
            </w:r>
          </w:p>
        </w:tc>
        <w:tc>
          <w:tcPr>
            <w:tcW w:w="1559" w:type="dxa"/>
          </w:tcPr>
          <w:p w14:paraId="66E13667" w14:textId="399FF90F" w:rsidR="00A4574D" w:rsidRDefault="00A4574D" w:rsidP="00D51BD3">
            <w:pPr>
              <w:jc w:val="both"/>
              <w:rPr>
                <w:u w:val="single"/>
              </w:rPr>
            </w:pPr>
            <w:r>
              <w:rPr>
                <w:u w:val="single"/>
              </w:rPr>
              <w:t>20</w:t>
            </w:r>
            <w:r w:rsidR="00AD7923">
              <w:rPr>
                <w:u w:val="single"/>
              </w:rPr>
              <w:t xml:space="preserve"> %</w:t>
            </w:r>
          </w:p>
        </w:tc>
      </w:tr>
      <w:tr w:rsidR="00A4574D" w14:paraId="459B1F60" w14:textId="77777777" w:rsidTr="004755A8">
        <w:tc>
          <w:tcPr>
            <w:tcW w:w="7338" w:type="dxa"/>
          </w:tcPr>
          <w:p w14:paraId="58ED00E4" w14:textId="6A9A853E" w:rsidR="00A4574D" w:rsidRDefault="00A4574D" w:rsidP="00A4574D">
            <w:pPr>
              <w:pStyle w:val="Prrafodelista"/>
              <w:numPr>
                <w:ilvl w:val="0"/>
                <w:numId w:val="2"/>
              </w:numPr>
              <w:jc w:val="both"/>
            </w:pPr>
            <w:r>
              <w:t xml:space="preserve">Experience of the applicant: priority will be given to early career researchers (ECR), post docs or PhD students employed </w:t>
            </w:r>
            <w:r w:rsidR="000B08FF">
              <w:t xml:space="preserve">by </w:t>
            </w:r>
            <w:r>
              <w:t>or affiliated to legal entities with a remit for performing research.</w:t>
            </w:r>
          </w:p>
          <w:p w14:paraId="7DBF16D1" w14:textId="77777777" w:rsidR="00A4574D" w:rsidRDefault="00A4574D" w:rsidP="00D51BD3">
            <w:pPr>
              <w:jc w:val="both"/>
              <w:rPr>
                <w:u w:val="single"/>
              </w:rPr>
            </w:pPr>
          </w:p>
        </w:tc>
        <w:tc>
          <w:tcPr>
            <w:tcW w:w="1559" w:type="dxa"/>
          </w:tcPr>
          <w:p w14:paraId="26DB4963" w14:textId="49228BAA" w:rsidR="00A4574D" w:rsidRDefault="00A4574D" w:rsidP="00D51BD3">
            <w:pPr>
              <w:jc w:val="both"/>
              <w:rPr>
                <w:u w:val="single"/>
              </w:rPr>
            </w:pPr>
            <w:r>
              <w:rPr>
                <w:u w:val="single"/>
              </w:rPr>
              <w:t>20</w:t>
            </w:r>
            <w:r w:rsidR="00AD7923">
              <w:rPr>
                <w:u w:val="single"/>
              </w:rPr>
              <w:t xml:space="preserve"> %</w:t>
            </w:r>
          </w:p>
        </w:tc>
      </w:tr>
      <w:tr w:rsidR="00A4574D" w14:paraId="56878F9D" w14:textId="77777777" w:rsidTr="00A4574D">
        <w:tc>
          <w:tcPr>
            <w:tcW w:w="7338" w:type="dxa"/>
          </w:tcPr>
          <w:p w14:paraId="69EB7B1F" w14:textId="424E8281" w:rsidR="00A4574D" w:rsidRDefault="00A4574D" w:rsidP="00A4574D">
            <w:pPr>
              <w:pStyle w:val="Prrafodelista"/>
              <w:numPr>
                <w:ilvl w:val="0"/>
                <w:numId w:val="2"/>
              </w:numPr>
              <w:jc w:val="both"/>
            </w:pPr>
            <w:r>
              <w:t>Inter-</w:t>
            </w:r>
            <w:proofErr w:type="spellStart"/>
            <w:r>
              <w:t>disciplinarity</w:t>
            </w:r>
            <w:proofErr w:type="spellEnd"/>
            <w:r>
              <w:t xml:space="preserve"> of the research area</w:t>
            </w:r>
          </w:p>
        </w:tc>
        <w:tc>
          <w:tcPr>
            <w:tcW w:w="1559" w:type="dxa"/>
          </w:tcPr>
          <w:p w14:paraId="09DF4C87" w14:textId="4D54E315" w:rsidR="00A4574D" w:rsidRDefault="00A4574D" w:rsidP="00D51BD3">
            <w:pPr>
              <w:jc w:val="both"/>
              <w:rPr>
                <w:u w:val="single"/>
              </w:rPr>
            </w:pPr>
            <w:r>
              <w:rPr>
                <w:u w:val="single"/>
              </w:rPr>
              <w:t>10</w:t>
            </w:r>
            <w:r w:rsidR="00AD7923">
              <w:rPr>
                <w:u w:val="single"/>
              </w:rPr>
              <w:t xml:space="preserve"> %</w:t>
            </w:r>
          </w:p>
        </w:tc>
      </w:tr>
      <w:tr w:rsidR="00A4574D" w14:paraId="4C30D2FE" w14:textId="77777777" w:rsidTr="00A4574D">
        <w:tc>
          <w:tcPr>
            <w:tcW w:w="7338" w:type="dxa"/>
          </w:tcPr>
          <w:p w14:paraId="38E8485C" w14:textId="192AD0B3" w:rsidR="00A4574D" w:rsidRDefault="00A4574D" w:rsidP="00A4574D">
            <w:pPr>
              <w:pStyle w:val="Prrafodelista"/>
              <w:numPr>
                <w:ilvl w:val="0"/>
                <w:numId w:val="2"/>
              </w:numPr>
              <w:jc w:val="both"/>
            </w:pPr>
            <w:r>
              <w:t>ITC countries</w:t>
            </w:r>
          </w:p>
        </w:tc>
        <w:tc>
          <w:tcPr>
            <w:tcW w:w="1559" w:type="dxa"/>
          </w:tcPr>
          <w:p w14:paraId="422CCFE8" w14:textId="4C986CCD" w:rsidR="00A4574D" w:rsidRDefault="00A4574D" w:rsidP="00D51BD3">
            <w:pPr>
              <w:jc w:val="both"/>
              <w:rPr>
                <w:u w:val="single"/>
              </w:rPr>
            </w:pPr>
            <w:r>
              <w:rPr>
                <w:u w:val="single"/>
              </w:rPr>
              <w:t>10</w:t>
            </w:r>
            <w:r w:rsidR="00AD7923">
              <w:rPr>
                <w:u w:val="single"/>
              </w:rPr>
              <w:t xml:space="preserve"> %</w:t>
            </w:r>
          </w:p>
        </w:tc>
      </w:tr>
    </w:tbl>
    <w:p w14:paraId="2C10464C" w14:textId="77777777" w:rsidR="00AD7923" w:rsidRPr="005039D1" w:rsidRDefault="00AD7923" w:rsidP="00AD7923">
      <w:pPr>
        <w:jc w:val="both"/>
      </w:pPr>
    </w:p>
    <w:p w14:paraId="07658AC9" w14:textId="77777777" w:rsidR="00AD7923" w:rsidRPr="00A670E0" w:rsidRDefault="00AD7923" w:rsidP="00AD7923">
      <w:pPr>
        <w:jc w:val="both"/>
        <w:rPr>
          <w:b/>
        </w:rPr>
      </w:pPr>
      <w:r w:rsidRPr="00A670E0">
        <w:rPr>
          <w:b/>
        </w:rPr>
        <w:t>Evaluation and selection of participants</w:t>
      </w:r>
    </w:p>
    <w:p w14:paraId="6136937C" w14:textId="1A137EF4" w:rsidR="00B32C7D" w:rsidRDefault="00AD7923" w:rsidP="00470C1D">
      <w:pPr>
        <w:tabs>
          <w:tab w:val="right" w:pos="9026"/>
        </w:tabs>
        <w:jc w:val="both"/>
      </w:pPr>
      <w:r>
        <w:t xml:space="preserve">Applications shall be reviewed by the SENSORFINT </w:t>
      </w:r>
      <w:r w:rsidR="00287469">
        <w:t>Core Group. The</w:t>
      </w:r>
      <w:r>
        <w:t xml:space="preserve"> STSM coordinator</w:t>
      </w:r>
      <w:r w:rsidR="00287469">
        <w:t xml:space="preserve"> will </w:t>
      </w:r>
      <w:r w:rsidR="000B08FF">
        <w:t>manage the process and may</w:t>
      </w:r>
      <w:r w:rsidR="00C33524">
        <w:t xml:space="preserve"> propose a</w:t>
      </w:r>
      <w:r w:rsidR="00287469">
        <w:t xml:space="preserve"> </w:t>
      </w:r>
      <w:r w:rsidR="000B08FF">
        <w:t>sub</w:t>
      </w:r>
      <w:r w:rsidR="00287469">
        <w:t>group for accelerating the evaluation</w:t>
      </w:r>
      <w:r w:rsidR="00D864EF">
        <w:t>.</w:t>
      </w:r>
    </w:p>
    <w:p w14:paraId="364B4046" w14:textId="77777777" w:rsidR="00AD0366" w:rsidRPr="00AD0366" w:rsidRDefault="00AD0366" w:rsidP="00AD0366">
      <w:pPr>
        <w:tabs>
          <w:tab w:val="right" w:pos="9026"/>
        </w:tabs>
        <w:jc w:val="both"/>
        <w:rPr>
          <w:b/>
        </w:rPr>
      </w:pPr>
      <w:r w:rsidRPr="00AD0366">
        <w:rPr>
          <w:b/>
        </w:rPr>
        <w:t>After the STSM</w:t>
      </w:r>
    </w:p>
    <w:p w14:paraId="7FED9611" w14:textId="597CDEC9" w:rsidR="00AD0366" w:rsidRPr="00AD0366" w:rsidRDefault="00AD0366" w:rsidP="00AD0366">
      <w:pPr>
        <w:tabs>
          <w:tab w:val="right" w:pos="9026"/>
        </w:tabs>
        <w:jc w:val="both"/>
      </w:pPr>
      <w:r w:rsidRPr="00AD0366">
        <w:t xml:space="preserve">The grantee is required to submit a scientific report to the host </w:t>
      </w:r>
      <w:r>
        <w:t>institution, Action Chair, Vice-</w:t>
      </w:r>
      <w:r w:rsidRPr="00AD0366">
        <w:t>Chair, and STSM Coordinator for approval within 30 days after the end date of the STSM. The report should contain:</w:t>
      </w:r>
    </w:p>
    <w:p w14:paraId="58A305CE" w14:textId="0980EB7D" w:rsidR="00AD0366" w:rsidRPr="00AD0366" w:rsidRDefault="00AD0366" w:rsidP="00AD0366">
      <w:pPr>
        <w:pStyle w:val="Prrafodelista"/>
        <w:numPr>
          <w:ilvl w:val="0"/>
          <w:numId w:val="3"/>
        </w:numPr>
        <w:tabs>
          <w:tab w:val="right" w:pos="9026"/>
        </w:tabs>
        <w:jc w:val="both"/>
      </w:pPr>
      <w:r w:rsidRPr="00AD0366">
        <w:t>A scientific report</w:t>
      </w:r>
      <w:r>
        <w:t>.</w:t>
      </w:r>
    </w:p>
    <w:p w14:paraId="0122A4F4" w14:textId="6D9508D6" w:rsidR="00AD0366" w:rsidRPr="00AD0366" w:rsidRDefault="00AD0366" w:rsidP="00AD0366">
      <w:pPr>
        <w:pStyle w:val="Prrafodelista"/>
        <w:numPr>
          <w:ilvl w:val="0"/>
          <w:numId w:val="3"/>
        </w:numPr>
        <w:tabs>
          <w:tab w:val="right" w:pos="9026"/>
        </w:tabs>
        <w:jc w:val="both"/>
      </w:pPr>
      <w:r w:rsidRPr="00AD0366">
        <w:t>An official letter/confirmation by the host institution of the successful execution of the STSM</w:t>
      </w:r>
      <w:r>
        <w:t>.</w:t>
      </w:r>
    </w:p>
    <w:p w14:paraId="291ED472" w14:textId="171E60BA" w:rsidR="00AD0366" w:rsidRPr="00AD0366" w:rsidRDefault="00AD0366" w:rsidP="004C7847">
      <w:pPr>
        <w:tabs>
          <w:tab w:val="right" w:pos="9026"/>
        </w:tabs>
        <w:jc w:val="both"/>
      </w:pPr>
      <w:r w:rsidRPr="00AD0366">
        <w:t>The Action Chair and STSM Coordinator are responsible for approving the scientific report. The failure to submit the scientific report within 30 days will effectively cancel the grant. Once approved, bank-to-bank transfer will make payment of the STSM grant to the grantee.</w:t>
      </w:r>
    </w:p>
    <w:p w14:paraId="1EC8EEE9" w14:textId="77777777" w:rsidR="00AD0366" w:rsidRDefault="00AD0366" w:rsidP="00AD0366">
      <w:pPr>
        <w:tabs>
          <w:tab w:val="right" w:pos="9026"/>
        </w:tabs>
        <w:jc w:val="both"/>
      </w:pPr>
      <w:r w:rsidRPr="00AD0366">
        <w:t>For more information and enquiries please do not hesitate to contact the STSM Coordinator:</w:t>
      </w:r>
    </w:p>
    <w:p w14:paraId="037189FA" w14:textId="2DF64FD7" w:rsidR="00AD0366" w:rsidRDefault="00AD0366" w:rsidP="00AD0366">
      <w:pPr>
        <w:tabs>
          <w:tab w:val="right" w:pos="9026"/>
        </w:tabs>
        <w:jc w:val="both"/>
      </w:pPr>
      <w:r>
        <w:t>Prof. Paul Brereton</w:t>
      </w:r>
    </w:p>
    <w:p w14:paraId="4F9BCD9A" w14:textId="77777777" w:rsidR="00AD0366" w:rsidRDefault="00AD0366" w:rsidP="00AD0366">
      <w:pPr>
        <w:spacing w:after="0" w:line="240" w:lineRule="auto"/>
        <w:rPr>
          <w:rFonts w:ascii="Times New Roman" w:hAnsi="Times New Roman" w:cs="Times New Roman"/>
          <w:color w:val="000000"/>
          <w:sz w:val="24"/>
          <w:szCs w:val="24"/>
        </w:rPr>
      </w:pPr>
      <w:r>
        <w:rPr>
          <w:rFonts w:ascii="Tahoma" w:hAnsi="Tahoma" w:cs="Tahoma"/>
          <w:color w:val="000000"/>
          <w:sz w:val="18"/>
          <w:szCs w:val="18"/>
        </w:rPr>
        <w:t>Institute for Global Food Security</w:t>
      </w:r>
    </w:p>
    <w:p w14:paraId="272B7061" w14:textId="77777777" w:rsidR="00AD0366" w:rsidRDefault="00AD0366" w:rsidP="00AD0366">
      <w:pPr>
        <w:spacing w:after="0" w:line="240" w:lineRule="auto"/>
        <w:rPr>
          <w:rFonts w:ascii="Times New Roman" w:hAnsi="Times New Roman" w:cs="Times New Roman"/>
          <w:color w:val="000000"/>
          <w:sz w:val="24"/>
          <w:szCs w:val="24"/>
        </w:rPr>
      </w:pPr>
      <w:r>
        <w:rPr>
          <w:rFonts w:ascii="Tahoma" w:hAnsi="Tahoma" w:cs="Tahoma"/>
          <w:color w:val="000000"/>
          <w:sz w:val="18"/>
          <w:szCs w:val="18"/>
        </w:rPr>
        <w:t>Room 02021B, NITC,</w:t>
      </w:r>
    </w:p>
    <w:p w14:paraId="4882EE23" w14:textId="77777777" w:rsidR="00AD0366" w:rsidRDefault="00AD0366" w:rsidP="00AD0366">
      <w:pPr>
        <w:spacing w:after="0" w:line="240" w:lineRule="auto"/>
        <w:rPr>
          <w:rFonts w:ascii="Times New Roman" w:hAnsi="Times New Roman" w:cs="Times New Roman"/>
          <w:color w:val="000000"/>
          <w:sz w:val="24"/>
          <w:szCs w:val="24"/>
        </w:rPr>
      </w:pPr>
      <w:r>
        <w:rPr>
          <w:rFonts w:ascii="Tahoma" w:hAnsi="Tahoma" w:cs="Tahoma"/>
          <w:color w:val="000000"/>
          <w:sz w:val="18"/>
          <w:szCs w:val="18"/>
        </w:rPr>
        <w:t>Queen’s University Belfast, BT9 5BN</w:t>
      </w:r>
    </w:p>
    <w:p w14:paraId="61F697B2" w14:textId="77777777" w:rsidR="00AD0366" w:rsidRDefault="00AD0366" w:rsidP="00AD0366">
      <w:pPr>
        <w:spacing w:after="0" w:line="240" w:lineRule="auto"/>
        <w:rPr>
          <w:rFonts w:ascii="Times New Roman" w:hAnsi="Times New Roman" w:cs="Times New Roman"/>
          <w:color w:val="000000"/>
          <w:sz w:val="24"/>
          <w:szCs w:val="24"/>
        </w:rPr>
      </w:pPr>
      <w:r>
        <w:rPr>
          <w:rFonts w:ascii="Tahoma" w:hAnsi="Tahoma" w:cs="Tahoma"/>
          <w:color w:val="000000"/>
          <w:sz w:val="18"/>
          <w:szCs w:val="18"/>
        </w:rPr>
        <w:t>Northern Ireland</w:t>
      </w:r>
    </w:p>
    <w:p w14:paraId="4C265F7B" w14:textId="77777777" w:rsidR="00AD0366" w:rsidRDefault="00AD0366" w:rsidP="00AD0366">
      <w:pPr>
        <w:spacing w:after="0" w:line="240" w:lineRule="auto"/>
        <w:rPr>
          <w:rFonts w:ascii="Times New Roman" w:hAnsi="Times New Roman" w:cs="Times New Roman"/>
          <w:color w:val="000000"/>
          <w:sz w:val="24"/>
          <w:szCs w:val="24"/>
        </w:rPr>
      </w:pPr>
      <w:r>
        <w:rPr>
          <w:rFonts w:ascii="Tahoma" w:hAnsi="Tahoma" w:cs="Tahoma"/>
          <w:color w:val="000000"/>
          <w:sz w:val="18"/>
          <w:szCs w:val="18"/>
        </w:rPr>
        <w:t>Tel +44 (0) 28 9097(4721)</w:t>
      </w:r>
    </w:p>
    <w:p w14:paraId="7729C706" w14:textId="77777777" w:rsidR="00AD0366" w:rsidRDefault="00AD0366" w:rsidP="00AD0366">
      <w:pPr>
        <w:spacing w:after="0" w:line="240" w:lineRule="auto"/>
        <w:rPr>
          <w:rFonts w:ascii="Times New Roman" w:hAnsi="Times New Roman" w:cs="Times New Roman"/>
          <w:color w:val="000000"/>
          <w:sz w:val="24"/>
          <w:szCs w:val="24"/>
        </w:rPr>
      </w:pPr>
      <w:r>
        <w:rPr>
          <w:rFonts w:ascii="Tahoma" w:hAnsi="Tahoma" w:cs="Tahoma"/>
          <w:color w:val="000000"/>
          <w:sz w:val="18"/>
          <w:szCs w:val="18"/>
        </w:rPr>
        <w:t>Mob: +44 (0)7717421243</w:t>
      </w:r>
    </w:p>
    <w:p w14:paraId="18C52D1D" w14:textId="77777777" w:rsidR="00AD0366" w:rsidRDefault="00271894" w:rsidP="00AD0366">
      <w:pPr>
        <w:spacing w:after="0" w:line="240" w:lineRule="auto"/>
        <w:rPr>
          <w:rFonts w:ascii="Times New Roman" w:hAnsi="Times New Roman" w:cs="Times New Roman"/>
          <w:color w:val="000000"/>
          <w:sz w:val="24"/>
          <w:szCs w:val="24"/>
        </w:rPr>
      </w:pPr>
      <w:hyperlink r:id="rId8" w:history="1">
        <w:r w:rsidR="00AD0366">
          <w:rPr>
            <w:rStyle w:val="Hipervnculo"/>
            <w:rFonts w:ascii="Tahoma" w:hAnsi="Tahoma" w:cs="Tahoma"/>
            <w:color w:val="800080"/>
            <w:sz w:val="18"/>
            <w:szCs w:val="18"/>
          </w:rPr>
          <w:t>paul.brereton@qub.ac.uk</w:t>
        </w:r>
      </w:hyperlink>
    </w:p>
    <w:p w14:paraId="35C6FD75" w14:textId="77777777" w:rsidR="00AD0366" w:rsidRPr="00AD0366" w:rsidRDefault="00AD0366" w:rsidP="00AD0366">
      <w:pPr>
        <w:tabs>
          <w:tab w:val="right" w:pos="9026"/>
        </w:tabs>
        <w:ind w:firstLine="720"/>
        <w:jc w:val="both"/>
      </w:pPr>
    </w:p>
    <w:p w14:paraId="65F9F3CA" w14:textId="0F4664ED" w:rsidR="0025056C" w:rsidRDefault="00910B90" w:rsidP="0025056C">
      <w:r>
        <w:br w:type="page"/>
      </w:r>
    </w:p>
    <w:p w14:paraId="410A762F" w14:textId="77777777" w:rsidR="0025056C" w:rsidRDefault="0025056C" w:rsidP="0025056C"/>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3698"/>
        <w:gridCol w:w="5544"/>
      </w:tblGrid>
      <w:tr w:rsidR="0025056C" w14:paraId="66B77DE7" w14:textId="77777777" w:rsidTr="00126C00">
        <w:trPr>
          <w:trHeight w:val="754"/>
        </w:trPr>
        <w:tc>
          <w:tcPr>
            <w:tcW w:w="10055" w:type="dxa"/>
            <w:gridSpan w:val="2"/>
            <w:shd w:val="clear" w:color="auto" w:fill="9BBB59"/>
          </w:tcPr>
          <w:p w14:paraId="4964AED5" w14:textId="77777777" w:rsidR="0025056C" w:rsidRPr="00E15FE0" w:rsidRDefault="0025056C" w:rsidP="00126C00">
            <w:pPr>
              <w:spacing w:line="360" w:lineRule="auto"/>
              <w:jc w:val="center"/>
              <w:rPr>
                <w:b/>
                <w:bCs/>
                <w:color w:val="FFFFFF"/>
                <w:sz w:val="28"/>
                <w:szCs w:val="28"/>
              </w:rPr>
            </w:pPr>
            <w:r w:rsidRPr="00E15FE0">
              <w:rPr>
                <w:b/>
                <w:bCs/>
                <w:color w:val="FFFFFF"/>
                <w:sz w:val="28"/>
                <w:szCs w:val="28"/>
              </w:rPr>
              <w:t>SENSORFINT SHORT-TERM SCIENTIFIC MISSIONS (STSM)</w:t>
            </w:r>
          </w:p>
          <w:p w14:paraId="3693FF57" w14:textId="77777777" w:rsidR="0025056C" w:rsidRPr="00E15FE0" w:rsidRDefault="0025056C" w:rsidP="00126C00">
            <w:pPr>
              <w:spacing w:line="360" w:lineRule="auto"/>
              <w:jc w:val="center"/>
              <w:rPr>
                <w:b/>
                <w:bCs/>
                <w:color w:val="FFFFFF"/>
              </w:rPr>
            </w:pPr>
            <w:r w:rsidRPr="00E15FE0">
              <w:rPr>
                <w:b/>
                <w:bCs/>
                <w:color w:val="FFFFFF"/>
                <w:sz w:val="28"/>
                <w:szCs w:val="28"/>
              </w:rPr>
              <w:t>APPLICATION FORM</w:t>
            </w:r>
          </w:p>
        </w:tc>
      </w:tr>
      <w:tr w:rsidR="0025056C" w14:paraId="68C634B6" w14:textId="77777777" w:rsidTr="00126C00">
        <w:tc>
          <w:tcPr>
            <w:tcW w:w="3936" w:type="dxa"/>
            <w:tcBorders>
              <w:top w:val="single" w:sz="8" w:space="0" w:color="9BBB59"/>
              <w:left w:val="single" w:sz="8" w:space="0" w:color="9BBB59"/>
              <w:bottom w:val="single" w:sz="8" w:space="0" w:color="9BBB59"/>
            </w:tcBorders>
            <w:shd w:val="clear" w:color="auto" w:fill="auto"/>
          </w:tcPr>
          <w:p w14:paraId="2865E3D5" w14:textId="77777777" w:rsidR="0025056C" w:rsidRPr="00E15FE0" w:rsidRDefault="0025056C" w:rsidP="00126C00">
            <w:pPr>
              <w:spacing w:line="360" w:lineRule="auto"/>
              <w:rPr>
                <w:b/>
                <w:bCs/>
              </w:rPr>
            </w:pPr>
            <w:r w:rsidRPr="00E15FE0">
              <w:rPr>
                <w:b/>
                <w:bCs/>
              </w:rPr>
              <w:t>Title of the STSM</w:t>
            </w:r>
          </w:p>
        </w:tc>
        <w:tc>
          <w:tcPr>
            <w:tcW w:w="6119" w:type="dxa"/>
            <w:tcBorders>
              <w:top w:val="single" w:sz="8" w:space="0" w:color="9BBB59"/>
              <w:bottom w:val="single" w:sz="8" w:space="0" w:color="9BBB59"/>
              <w:right w:val="single" w:sz="8" w:space="0" w:color="9BBB59"/>
            </w:tcBorders>
            <w:shd w:val="clear" w:color="auto" w:fill="auto"/>
          </w:tcPr>
          <w:p w14:paraId="67E21ED8" w14:textId="77777777" w:rsidR="0025056C" w:rsidRDefault="0025056C" w:rsidP="00126C00">
            <w:pPr>
              <w:spacing w:line="360" w:lineRule="auto"/>
            </w:pPr>
          </w:p>
        </w:tc>
      </w:tr>
      <w:tr w:rsidR="0025056C" w14:paraId="32F837C5" w14:textId="77777777" w:rsidTr="00126C00">
        <w:tc>
          <w:tcPr>
            <w:tcW w:w="3936" w:type="dxa"/>
            <w:shd w:val="clear" w:color="auto" w:fill="auto"/>
          </w:tcPr>
          <w:p w14:paraId="16E107B5" w14:textId="77777777" w:rsidR="0025056C" w:rsidRPr="00E15FE0" w:rsidRDefault="0025056C" w:rsidP="00126C00">
            <w:pPr>
              <w:spacing w:line="360" w:lineRule="auto"/>
              <w:rPr>
                <w:b/>
                <w:bCs/>
              </w:rPr>
            </w:pPr>
            <w:r w:rsidRPr="00E15FE0">
              <w:rPr>
                <w:b/>
                <w:bCs/>
              </w:rPr>
              <w:t>Host Organizer of the STSM (Name, contact details and Institution)</w:t>
            </w:r>
          </w:p>
        </w:tc>
        <w:tc>
          <w:tcPr>
            <w:tcW w:w="6119" w:type="dxa"/>
            <w:shd w:val="clear" w:color="auto" w:fill="auto"/>
          </w:tcPr>
          <w:p w14:paraId="51F15935" w14:textId="77777777" w:rsidR="0025056C" w:rsidRDefault="0025056C" w:rsidP="00126C00">
            <w:pPr>
              <w:spacing w:line="360" w:lineRule="auto"/>
            </w:pPr>
          </w:p>
        </w:tc>
      </w:tr>
      <w:tr w:rsidR="0025056C" w14:paraId="54139C38" w14:textId="77777777" w:rsidTr="00126C00">
        <w:tc>
          <w:tcPr>
            <w:tcW w:w="3936" w:type="dxa"/>
            <w:tcBorders>
              <w:top w:val="single" w:sz="8" w:space="0" w:color="9BBB59"/>
              <w:left w:val="single" w:sz="8" w:space="0" w:color="9BBB59"/>
              <w:bottom w:val="single" w:sz="8" w:space="0" w:color="9BBB59"/>
            </w:tcBorders>
            <w:shd w:val="clear" w:color="auto" w:fill="auto"/>
          </w:tcPr>
          <w:p w14:paraId="77806185" w14:textId="77777777" w:rsidR="0025056C" w:rsidRPr="00E15FE0" w:rsidRDefault="0025056C" w:rsidP="00126C00">
            <w:pPr>
              <w:spacing w:line="360" w:lineRule="auto"/>
              <w:rPr>
                <w:b/>
                <w:bCs/>
              </w:rPr>
            </w:pPr>
            <w:r w:rsidRPr="00E15FE0">
              <w:rPr>
                <w:b/>
                <w:bCs/>
              </w:rPr>
              <w:t>Host place (City, Country) of the STSM</w:t>
            </w:r>
          </w:p>
        </w:tc>
        <w:tc>
          <w:tcPr>
            <w:tcW w:w="6119" w:type="dxa"/>
            <w:tcBorders>
              <w:top w:val="single" w:sz="8" w:space="0" w:color="9BBB59"/>
              <w:bottom w:val="single" w:sz="8" w:space="0" w:color="9BBB59"/>
              <w:right w:val="single" w:sz="8" w:space="0" w:color="9BBB59"/>
            </w:tcBorders>
            <w:shd w:val="clear" w:color="auto" w:fill="auto"/>
          </w:tcPr>
          <w:p w14:paraId="132A2D2C" w14:textId="77777777" w:rsidR="0025056C" w:rsidRDefault="0025056C" w:rsidP="00126C00">
            <w:pPr>
              <w:spacing w:line="360" w:lineRule="auto"/>
            </w:pPr>
          </w:p>
        </w:tc>
      </w:tr>
      <w:tr w:rsidR="0025056C" w14:paraId="79744B8C" w14:textId="77777777" w:rsidTr="00126C00">
        <w:trPr>
          <w:trHeight w:val="259"/>
        </w:trPr>
        <w:tc>
          <w:tcPr>
            <w:tcW w:w="10055" w:type="dxa"/>
            <w:gridSpan w:val="2"/>
            <w:shd w:val="clear" w:color="auto" w:fill="auto"/>
          </w:tcPr>
          <w:p w14:paraId="0F5CE2C5" w14:textId="77777777" w:rsidR="0025056C" w:rsidRPr="00E15FE0" w:rsidRDefault="0025056C" w:rsidP="00126C00">
            <w:pPr>
              <w:spacing w:line="360" w:lineRule="auto"/>
              <w:rPr>
                <w:b/>
                <w:bCs/>
              </w:rPr>
            </w:pPr>
          </w:p>
        </w:tc>
      </w:tr>
      <w:tr w:rsidR="0025056C" w14:paraId="429ADE5B" w14:textId="77777777" w:rsidTr="00126C00">
        <w:tc>
          <w:tcPr>
            <w:tcW w:w="3936" w:type="dxa"/>
            <w:tcBorders>
              <w:top w:val="single" w:sz="8" w:space="0" w:color="9BBB59"/>
              <w:left w:val="single" w:sz="8" w:space="0" w:color="9BBB59"/>
              <w:bottom w:val="single" w:sz="8" w:space="0" w:color="9BBB59"/>
            </w:tcBorders>
            <w:shd w:val="clear" w:color="auto" w:fill="auto"/>
          </w:tcPr>
          <w:p w14:paraId="7D832B99" w14:textId="77777777" w:rsidR="0025056C" w:rsidRPr="00E15FE0" w:rsidRDefault="0025056C" w:rsidP="00126C00">
            <w:pPr>
              <w:spacing w:line="360" w:lineRule="auto"/>
              <w:jc w:val="both"/>
              <w:rPr>
                <w:b/>
                <w:bCs/>
              </w:rPr>
            </w:pPr>
            <w:r w:rsidRPr="00E15FE0">
              <w:rPr>
                <w:b/>
                <w:bCs/>
              </w:rPr>
              <w:t>Full name of the candidate</w:t>
            </w:r>
          </w:p>
        </w:tc>
        <w:tc>
          <w:tcPr>
            <w:tcW w:w="6119" w:type="dxa"/>
            <w:tcBorders>
              <w:top w:val="single" w:sz="8" w:space="0" w:color="9BBB59"/>
              <w:bottom w:val="single" w:sz="8" w:space="0" w:color="9BBB59"/>
              <w:right w:val="single" w:sz="8" w:space="0" w:color="9BBB59"/>
            </w:tcBorders>
            <w:shd w:val="clear" w:color="auto" w:fill="auto"/>
          </w:tcPr>
          <w:p w14:paraId="2C2C8298" w14:textId="77777777" w:rsidR="0025056C" w:rsidRDefault="0025056C" w:rsidP="00126C00">
            <w:pPr>
              <w:spacing w:line="360" w:lineRule="auto"/>
            </w:pPr>
          </w:p>
        </w:tc>
      </w:tr>
      <w:tr w:rsidR="0025056C" w14:paraId="70D203D0" w14:textId="77777777" w:rsidTr="00126C00">
        <w:tc>
          <w:tcPr>
            <w:tcW w:w="3936" w:type="dxa"/>
            <w:shd w:val="clear" w:color="auto" w:fill="auto"/>
          </w:tcPr>
          <w:p w14:paraId="4A511A6E" w14:textId="77777777" w:rsidR="0025056C" w:rsidRPr="00E15FE0" w:rsidRDefault="0025056C" w:rsidP="00126C00">
            <w:pPr>
              <w:spacing w:line="360" w:lineRule="auto"/>
              <w:jc w:val="both"/>
              <w:rPr>
                <w:b/>
                <w:bCs/>
              </w:rPr>
            </w:pPr>
            <w:r w:rsidRPr="00E15FE0">
              <w:rPr>
                <w:b/>
                <w:bCs/>
              </w:rPr>
              <w:t>Affiliation (name of the Institution)</w:t>
            </w:r>
          </w:p>
        </w:tc>
        <w:tc>
          <w:tcPr>
            <w:tcW w:w="6119" w:type="dxa"/>
            <w:shd w:val="clear" w:color="auto" w:fill="auto"/>
          </w:tcPr>
          <w:p w14:paraId="246FD1D8" w14:textId="77777777" w:rsidR="0025056C" w:rsidRDefault="0025056C" w:rsidP="00126C00">
            <w:pPr>
              <w:spacing w:line="360" w:lineRule="auto"/>
            </w:pPr>
          </w:p>
        </w:tc>
      </w:tr>
      <w:tr w:rsidR="0025056C" w14:paraId="694D8360" w14:textId="77777777" w:rsidTr="00126C00">
        <w:tc>
          <w:tcPr>
            <w:tcW w:w="3936" w:type="dxa"/>
            <w:tcBorders>
              <w:top w:val="single" w:sz="8" w:space="0" w:color="9BBB59"/>
              <w:left w:val="single" w:sz="8" w:space="0" w:color="9BBB59"/>
              <w:bottom w:val="single" w:sz="8" w:space="0" w:color="9BBB59"/>
            </w:tcBorders>
            <w:shd w:val="clear" w:color="auto" w:fill="auto"/>
          </w:tcPr>
          <w:p w14:paraId="43E9332E" w14:textId="77777777" w:rsidR="0025056C" w:rsidRPr="00E15FE0" w:rsidRDefault="0025056C" w:rsidP="00126C00">
            <w:pPr>
              <w:spacing w:line="360" w:lineRule="auto"/>
              <w:jc w:val="both"/>
              <w:rPr>
                <w:b/>
                <w:bCs/>
              </w:rPr>
            </w:pPr>
            <w:r w:rsidRPr="00E15FE0">
              <w:rPr>
                <w:b/>
                <w:bCs/>
              </w:rPr>
              <w:t>Country of the institution</w:t>
            </w:r>
          </w:p>
        </w:tc>
        <w:tc>
          <w:tcPr>
            <w:tcW w:w="6119" w:type="dxa"/>
            <w:tcBorders>
              <w:top w:val="single" w:sz="8" w:space="0" w:color="9BBB59"/>
              <w:bottom w:val="single" w:sz="8" w:space="0" w:color="9BBB59"/>
              <w:right w:val="single" w:sz="8" w:space="0" w:color="9BBB59"/>
            </w:tcBorders>
            <w:shd w:val="clear" w:color="auto" w:fill="auto"/>
          </w:tcPr>
          <w:p w14:paraId="645D45D9" w14:textId="77777777" w:rsidR="0025056C" w:rsidRDefault="0025056C" w:rsidP="00126C00">
            <w:pPr>
              <w:spacing w:line="360" w:lineRule="auto"/>
            </w:pPr>
          </w:p>
        </w:tc>
      </w:tr>
      <w:tr w:rsidR="0025056C" w14:paraId="62192F49" w14:textId="77777777" w:rsidTr="00126C00">
        <w:tc>
          <w:tcPr>
            <w:tcW w:w="3936" w:type="dxa"/>
            <w:shd w:val="clear" w:color="auto" w:fill="auto"/>
          </w:tcPr>
          <w:p w14:paraId="5DB5E924" w14:textId="77777777" w:rsidR="0025056C" w:rsidRPr="00E15FE0" w:rsidRDefault="0025056C" w:rsidP="00126C00">
            <w:pPr>
              <w:spacing w:line="360" w:lineRule="auto"/>
              <w:jc w:val="both"/>
              <w:rPr>
                <w:b/>
                <w:bCs/>
              </w:rPr>
            </w:pPr>
            <w:proofErr w:type="gramStart"/>
            <w:r w:rsidRPr="00E15FE0">
              <w:rPr>
                <w:b/>
                <w:bCs/>
              </w:rPr>
              <w:t>Address  of</w:t>
            </w:r>
            <w:proofErr w:type="gramEnd"/>
            <w:r w:rsidRPr="00E15FE0">
              <w:rPr>
                <w:b/>
                <w:bCs/>
              </w:rPr>
              <w:t xml:space="preserve"> the Institution</w:t>
            </w:r>
          </w:p>
        </w:tc>
        <w:tc>
          <w:tcPr>
            <w:tcW w:w="6119" w:type="dxa"/>
            <w:shd w:val="clear" w:color="auto" w:fill="auto"/>
          </w:tcPr>
          <w:p w14:paraId="26BE002B" w14:textId="77777777" w:rsidR="0025056C" w:rsidRDefault="0025056C" w:rsidP="00126C00">
            <w:pPr>
              <w:spacing w:line="360" w:lineRule="auto"/>
            </w:pPr>
          </w:p>
        </w:tc>
      </w:tr>
      <w:tr w:rsidR="0025056C" w14:paraId="65CC18BD" w14:textId="77777777" w:rsidTr="00126C00">
        <w:tc>
          <w:tcPr>
            <w:tcW w:w="3936" w:type="dxa"/>
            <w:tcBorders>
              <w:top w:val="single" w:sz="8" w:space="0" w:color="9BBB59"/>
              <w:left w:val="single" w:sz="8" w:space="0" w:color="9BBB59"/>
              <w:bottom w:val="single" w:sz="8" w:space="0" w:color="9BBB59"/>
            </w:tcBorders>
            <w:shd w:val="clear" w:color="auto" w:fill="auto"/>
          </w:tcPr>
          <w:p w14:paraId="7B37F02A" w14:textId="77777777" w:rsidR="0025056C" w:rsidRPr="00E15FE0" w:rsidRDefault="0025056C" w:rsidP="00126C00">
            <w:pPr>
              <w:spacing w:line="360" w:lineRule="auto"/>
              <w:jc w:val="both"/>
              <w:rPr>
                <w:b/>
                <w:bCs/>
              </w:rPr>
            </w:pPr>
            <w:r w:rsidRPr="00E15FE0">
              <w:rPr>
                <w:b/>
                <w:bCs/>
              </w:rPr>
              <w:t>Supervisor in the Institution</w:t>
            </w:r>
          </w:p>
        </w:tc>
        <w:tc>
          <w:tcPr>
            <w:tcW w:w="6119" w:type="dxa"/>
            <w:tcBorders>
              <w:top w:val="single" w:sz="8" w:space="0" w:color="9BBB59"/>
              <w:bottom w:val="single" w:sz="8" w:space="0" w:color="9BBB59"/>
              <w:right w:val="single" w:sz="8" w:space="0" w:color="9BBB59"/>
            </w:tcBorders>
            <w:shd w:val="clear" w:color="auto" w:fill="auto"/>
          </w:tcPr>
          <w:p w14:paraId="2C0563A2" w14:textId="77777777" w:rsidR="0025056C" w:rsidRDefault="0025056C" w:rsidP="00126C00">
            <w:pPr>
              <w:spacing w:line="360" w:lineRule="auto"/>
            </w:pPr>
          </w:p>
        </w:tc>
      </w:tr>
      <w:tr w:rsidR="0025056C" w14:paraId="46BB5CE5" w14:textId="77777777" w:rsidTr="00126C00">
        <w:tc>
          <w:tcPr>
            <w:tcW w:w="3936" w:type="dxa"/>
            <w:shd w:val="clear" w:color="auto" w:fill="auto"/>
          </w:tcPr>
          <w:p w14:paraId="61DDF129" w14:textId="77777777" w:rsidR="0025056C" w:rsidRPr="00E15FE0" w:rsidRDefault="0025056C" w:rsidP="00126C00">
            <w:pPr>
              <w:spacing w:line="360" w:lineRule="auto"/>
              <w:jc w:val="both"/>
              <w:rPr>
                <w:b/>
                <w:bCs/>
              </w:rPr>
            </w:pPr>
            <w:r w:rsidRPr="00E15FE0">
              <w:rPr>
                <w:b/>
                <w:bCs/>
              </w:rPr>
              <w:t>Gender of the candidate</w:t>
            </w:r>
          </w:p>
        </w:tc>
        <w:tc>
          <w:tcPr>
            <w:tcW w:w="6119" w:type="dxa"/>
            <w:shd w:val="clear" w:color="auto" w:fill="auto"/>
          </w:tcPr>
          <w:p w14:paraId="1A799E52" w14:textId="77777777" w:rsidR="0025056C" w:rsidRDefault="0025056C" w:rsidP="00126C00">
            <w:pPr>
              <w:spacing w:line="360" w:lineRule="auto"/>
            </w:pPr>
          </w:p>
        </w:tc>
      </w:tr>
      <w:tr w:rsidR="0025056C" w14:paraId="0618AAB2" w14:textId="77777777" w:rsidTr="00126C00">
        <w:tc>
          <w:tcPr>
            <w:tcW w:w="3936" w:type="dxa"/>
            <w:tcBorders>
              <w:top w:val="single" w:sz="8" w:space="0" w:color="9BBB59"/>
              <w:left w:val="single" w:sz="8" w:space="0" w:color="9BBB59"/>
              <w:bottom w:val="single" w:sz="8" w:space="0" w:color="9BBB59"/>
            </w:tcBorders>
            <w:shd w:val="clear" w:color="auto" w:fill="auto"/>
          </w:tcPr>
          <w:p w14:paraId="1CE7A45F" w14:textId="77777777" w:rsidR="0025056C" w:rsidRPr="00E15FE0" w:rsidRDefault="0025056C" w:rsidP="00126C00">
            <w:pPr>
              <w:spacing w:line="360" w:lineRule="auto"/>
              <w:rPr>
                <w:b/>
                <w:bCs/>
              </w:rPr>
            </w:pPr>
            <w:r w:rsidRPr="00E15FE0">
              <w:rPr>
                <w:b/>
                <w:bCs/>
              </w:rPr>
              <w:t>Email of the candidate</w:t>
            </w:r>
          </w:p>
        </w:tc>
        <w:tc>
          <w:tcPr>
            <w:tcW w:w="6119" w:type="dxa"/>
            <w:tcBorders>
              <w:top w:val="single" w:sz="8" w:space="0" w:color="9BBB59"/>
              <w:bottom w:val="single" w:sz="8" w:space="0" w:color="9BBB59"/>
              <w:right w:val="single" w:sz="8" w:space="0" w:color="9BBB59"/>
            </w:tcBorders>
            <w:shd w:val="clear" w:color="auto" w:fill="auto"/>
          </w:tcPr>
          <w:p w14:paraId="7D99888E" w14:textId="77777777" w:rsidR="0025056C" w:rsidRDefault="0025056C" w:rsidP="00126C00">
            <w:pPr>
              <w:spacing w:line="360" w:lineRule="auto"/>
            </w:pPr>
          </w:p>
        </w:tc>
      </w:tr>
      <w:tr w:rsidR="0025056C" w14:paraId="277D96CD" w14:textId="77777777" w:rsidTr="00126C00">
        <w:tc>
          <w:tcPr>
            <w:tcW w:w="3936" w:type="dxa"/>
            <w:shd w:val="clear" w:color="auto" w:fill="auto"/>
          </w:tcPr>
          <w:p w14:paraId="7B5932EC" w14:textId="77777777" w:rsidR="0025056C" w:rsidRPr="00E15FE0" w:rsidRDefault="0025056C" w:rsidP="00126C00">
            <w:pPr>
              <w:spacing w:line="360" w:lineRule="auto"/>
              <w:rPr>
                <w:b/>
                <w:bCs/>
              </w:rPr>
            </w:pPr>
            <w:r w:rsidRPr="00E15FE0">
              <w:rPr>
                <w:b/>
                <w:bCs/>
              </w:rPr>
              <w:t>Early Career Investigator (ECI; PhD≤ 8 y in 2019) (Yes/No)</w:t>
            </w:r>
          </w:p>
        </w:tc>
        <w:tc>
          <w:tcPr>
            <w:tcW w:w="6119" w:type="dxa"/>
            <w:shd w:val="clear" w:color="auto" w:fill="auto"/>
          </w:tcPr>
          <w:p w14:paraId="280373C8" w14:textId="77777777" w:rsidR="0025056C" w:rsidRDefault="0025056C" w:rsidP="00126C00">
            <w:pPr>
              <w:spacing w:line="360" w:lineRule="auto"/>
            </w:pPr>
          </w:p>
        </w:tc>
      </w:tr>
      <w:tr w:rsidR="0025056C" w14:paraId="3C7E2BC8" w14:textId="77777777" w:rsidTr="00126C00">
        <w:tc>
          <w:tcPr>
            <w:tcW w:w="3936" w:type="dxa"/>
            <w:tcBorders>
              <w:top w:val="single" w:sz="8" w:space="0" w:color="9BBB59"/>
              <w:left w:val="single" w:sz="8" w:space="0" w:color="9BBB59"/>
              <w:bottom w:val="single" w:sz="8" w:space="0" w:color="9BBB59"/>
            </w:tcBorders>
            <w:shd w:val="clear" w:color="auto" w:fill="auto"/>
          </w:tcPr>
          <w:p w14:paraId="180EF378" w14:textId="77777777" w:rsidR="0025056C" w:rsidRPr="00E15FE0" w:rsidRDefault="0025056C" w:rsidP="00126C00">
            <w:pPr>
              <w:spacing w:line="360" w:lineRule="auto"/>
              <w:jc w:val="both"/>
              <w:rPr>
                <w:b/>
                <w:bCs/>
              </w:rPr>
            </w:pPr>
            <w:r w:rsidRPr="00E15FE0">
              <w:rPr>
                <w:b/>
                <w:bCs/>
              </w:rPr>
              <w:t>PhD (Yes/No)</w:t>
            </w:r>
          </w:p>
        </w:tc>
        <w:tc>
          <w:tcPr>
            <w:tcW w:w="6119" w:type="dxa"/>
            <w:tcBorders>
              <w:top w:val="single" w:sz="8" w:space="0" w:color="9BBB59"/>
              <w:bottom w:val="single" w:sz="8" w:space="0" w:color="9BBB59"/>
              <w:right w:val="single" w:sz="8" w:space="0" w:color="9BBB59"/>
            </w:tcBorders>
            <w:shd w:val="clear" w:color="auto" w:fill="auto"/>
          </w:tcPr>
          <w:p w14:paraId="109EF087" w14:textId="77777777" w:rsidR="0025056C" w:rsidRDefault="0025056C" w:rsidP="00126C00">
            <w:pPr>
              <w:spacing w:line="360" w:lineRule="auto"/>
            </w:pPr>
          </w:p>
        </w:tc>
      </w:tr>
      <w:tr w:rsidR="0025056C" w14:paraId="37DE3017" w14:textId="77777777" w:rsidTr="00126C00">
        <w:tc>
          <w:tcPr>
            <w:tcW w:w="3936" w:type="dxa"/>
            <w:shd w:val="clear" w:color="auto" w:fill="auto"/>
          </w:tcPr>
          <w:p w14:paraId="4F626F19" w14:textId="77777777" w:rsidR="0025056C" w:rsidRPr="00E15FE0" w:rsidRDefault="0025056C" w:rsidP="00126C00">
            <w:pPr>
              <w:spacing w:line="360" w:lineRule="auto"/>
              <w:jc w:val="both"/>
              <w:rPr>
                <w:b/>
                <w:bCs/>
              </w:rPr>
            </w:pPr>
            <w:r w:rsidRPr="00E15FE0">
              <w:rPr>
                <w:b/>
                <w:bCs/>
              </w:rPr>
              <w:t xml:space="preserve">Nº of Years since the end of </w:t>
            </w:r>
            <w:proofErr w:type="gramStart"/>
            <w:r w:rsidRPr="00E15FE0">
              <w:rPr>
                <w:b/>
                <w:bCs/>
              </w:rPr>
              <w:t>the  PhD</w:t>
            </w:r>
            <w:proofErr w:type="gramEnd"/>
          </w:p>
        </w:tc>
        <w:tc>
          <w:tcPr>
            <w:tcW w:w="6119" w:type="dxa"/>
            <w:shd w:val="clear" w:color="auto" w:fill="auto"/>
          </w:tcPr>
          <w:p w14:paraId="0E4CEAF3" w14:textId="77777777" w:rsidR="0025056C" w:rsidRDefault="0025056C" w:rsidP="00126C00">
            <w:pPr>
              <w:spacing w:line="360" w:lineRule="auto"/>
            </w:pPr>
          </w:p>
        </w:tc>
      </w:tr>
      <w:tr w:rsidR="0025056C" w14:paraId="310A48B5" w14:textId="77777777" w:rsidTr="00470C1D">
        <w:trPr>
          <w:trHeight w:val="1588"/>
        </w:trPr>
        <w:tc>
          <w:tcPr>
            <w:tcW w:w="3936" w:type="dxa"/>
            <w:tcBorders>
              <w:top w:val="single" w:sz="8" w:space="0" w:color="9BBB59"/>
              <w:left w:val="single" w:sz="8" w:space="0" w:color="9BBB59"/>
              <w:bottom w:val="single" w:sz="8" w:space="0" w:color="9BBB59"/>
            </w:tcBorders>
            <w:shd w:val="clear" w:color="auto" w:fill="auto"/>
          </w:tcPr>
          <w:p w14:paraId="61E7A497" w14:textId="77777777" w:rsidR="0025056C" w:rsidRPr="00E15FE0" w:rsidRDefault="0025056C" w:rsidP="00126C00">
            <w:pPr>
              <w:spacing w:line="360" w:lineRule="auto"/>
              <w:rPr>
                <w:b/>
                <w:bCs/>
              </w:rPr>
            </w:pPr>
            <w:r w:rsidRPr="00E15FE0">
              <w:rPr>
                <w:b/>
                <w:bCs/>
              </w:rPr>
              <w:t xml:space="preserve">Type of member of SENSORFINT: Management Committee (MC) </w:t>
            </w:r>
            <w:proofErr w:type="gramStart"/>
            <w:r w:rsidRPr="00E15FE0">
              <w:rPr>
                <w:b/>
                <w:bCs/>
              </w:rPr>
              <w:t>member;  Substitute</w:t>
            </w:r>
            <w:proofErr w:type="gramEnd"/>
            <w:r w:rsidRPr="00E15FE0">
              <w:rPr>
                <w:b/>
                <w:bCs/>
              </w:rPr>
              <w:t xml:space="preserve"> MC member; </w:t>
            </w:r>
          </w:p>
          <w:p w14:paraId="0EA22494" w14:textId="77777777" w:rsidR="0025056C" w:rsidRPr="00E15FE0" w:rsidRDefault="0025056C" w:rsidP="00126C00">
            <w:pPr>
              <w:spacing w:line="360" w:lineRule="auto"/>
              <w:rPr>
                <w:b/>
                <w:bCs/>
              </w:rPr>
            </w:pPr>
            <w:r w:rsidRPr="00E15FE0">
              <w:rPr>
                <w:b/>
                <w:bCs/>
              </w:rPr>
              <w:t>Non-MC member.</w:t>
            </w:r>
          </w:p>
        </w:tc>
        <w:tc>
          <w:tcPr>
            <w:tcW w:w="6119" w:type="dxa"/>
            <w:tcBorders>
              <w:top w:val="single" w:sz="8" w:space="0" w:color="9BBB59"/>
              <w:bottom w:val="single" w:sz="8" w:space="0" w:color="9BBB59"/>
              <w:right w:val="single" w:sz="8" w:space="0" w:color="9BBB59"/>
            </w:tcBorders>
            <w:shd w:val="clear" w:color="auto" w:fill="auto"/>
          </w:tcPr>
          <w:p w14:paraId="7D61EE92" w14:textId="77777777" w:rsidR="0025056C" w:rsidRDefault="0025056C" w:rsidP="00126C00">
            <w:pPr>
              <w:spacing w:line="360" w:lineRule="auto"/>
            </w:pPr>
          </w:p>
        </w:tc>
      </w:tr>
    </w:tbl>
    <w:p w14:paraId="5571BC58" w14:textId="77777777" w:rsidR="00B32C7D" w:rsidRDefault="00B32C7D" w:rsidP="00D51BD3">
      <w:pPr>
        <w:jc w:val="both"/>
      </w:pPr>
      <w:bookmarkStart w:id="0" w:name="_GoBack"/>
      <w:bookmarkEnd w:id="0"/>
    </w:p>
    <w:sectPr w:rsidR="00B32C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0A737" w14:textId="77777777" w:rsidR="00271894" w:rsidRDefault="00271894" w:rsidP="00470C1D">
      <w:pPr>
        <w:spacing w:after="0" w:line="240" w:lineRule="auto"/>
      </w:pPr>
      <w:r>
        <w:separator/>
      </w:r>
    </w:p>
  </w:endnote>
  <w:endnote w:type="continuationSeparator" w:id="0">
    <w:p w14:paraId="14D2D16A" w14:textId="77777777" w:rsidR="00271894" w:rsidRDefault="00271894" w:rsidP="0047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3BB9D" w14:textId="77777777" w:rsidR="00271894" w:rsidRDefault="00271894" w:rsidP="00470C1D">
      <w:pPr>
        <w:spacing w:after="0" w:line="240" w:lineRule="auto"/>
      </w:pPr>
      <w:r>
        <w:separator/>
      </w:r>
    </w:p>
  </w:footnote>
  <w:footnote w:type="continuationSeparator" w:id="0">
    <w:p w14:paraId="3BBBD5AD" w14:textId="77777777" w:rsidR="00271894" w:rsidRDefault="00271894" w:rsidP="0047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AC7E" w14:textId="261C9D58" w:rsidR="00470C1D" w:rsidRDefault="00470C1D">
    <w:pPr>
      <w:pStyle w:val="Encabezado"/>
    </w:pPr>
    <w:r>
      <w:rPr>
        <w:noProof/>
      </w:rPr>
      <w:drawing>
        <wp:inline distT="0" distB="0" distL="0" distR="0" wp14:anchorId="32CD0279" wp14:editId="70810583">
          <wp:extent cx="5731510" cy="877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documentos.jpg"/>
                  <pic:cNvPicPr/>
                </pic:nvPicPr>
                <pic:blipFill>
                  <a:blip r:embed="rId1"/>
                  <a:stretch>
                    <a:fillRect/>
                  </a:stretch>
                </pic:blipFill>
                <pic:spPr>
                  <a:xfrm>
                    <a:off x="0" y="0"/>
                    <a:ext cx="5731510" cy="877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E0D"/>
    <w:multiLevelType w:val="hybridMultilevel"/>
    <w:tmpl w:val="DA68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50F"/>
    <w:multiLevelType w:val="multilevel"/>
    <w:tmpl w:val="8C3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B032E"/>
    <w:multiLevelType w:val="multilevel"/>
    <w:tmpl w:val="3ADE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E6841"/>
    <w:multiLevelType w:val="hybridMultilevel"/>
    <w:tmpl w:val="0824C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97AC0"/>
    <w:multiLevelType w:val="hybridMultilevel"/>
    <w:tmpl w:val="4CF6DF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6AF59A6"/>
    <w:multiLevelType w:val="hybridMultilevel"/>
    <w:tmpl w:val="D69A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6546EF"/>
    <w:multiLevelType w:val="multilevel"/>
    <w:tmpl w:val="227C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958"/>
    <w:rsid w:val="00040027"/>
    <w:rsid w:val="00053B27"/>
    <w:rsid w:val="000B08FF"/>
    <w:rsid w:val="000C369F"/>
    <w:rsid w:val="000C3894"/>
    <w:rsid w:val="001247B0"/>
    <w:rsid w:val="00173882"/>
    <w:rsid w:val="001B0FCC"/>
    <w:rsid w:val="002355D2"/>
    <w:rsid w:val="00241007"/>
    <w:rsid w:val="002500DE"/>
    <w:rsid w:val="0025056C"/>
    <w:rsid w:val="00271894"/>
    <w:rsid w:val="00286204"/>
    <w:rsid w:val="00287469"/>
    <w:rsid w:val="002C4339"/>
    <w:rsid w:val="0031376A"/>
    <w:rsid w:val="003903FA"/>
    <w:rsid w:val="0039310B"/>
    <w:rsid w:val="00394958"/>
    <w:rsid w:val="003B1C3E"/>
    <w:rsid w:val="003D69BE"/>
    <w:rsid w:val="004660F0"/>
    <w:rsid w:val="004705EB"/>
    <w:rsid w:val="00470C1D"/>
    <w:rsid w:val="004755A8"/>
    <w:rsid w:val="004A091A"/>
    <w:rsid w:val="004C7847"/>
    <w:rsid w:val="004E5504"/>
    <w:rsid w:val="005039D1"/>
    <w:rsid w:val="0051646E"/>
    <w:rsid w:val="005F18EB"/>
    <w:rsid w:val="005F36C9"/>
    <w:rsid w:val="00651C2F"/>
    <w:rsid w:val="00660876"/>
    <w:rsid w:val="00667E84"/>
    <w:rsid w:val="006920DB"/>
    <w:rsid w:val="006E110B"/>
    <w:rsid w:val="007206CF"/>
    <w:rsid w:val="007A2CDB"/>
    <w:rsid w:val="007B029D"/>
    <w:rsid w:val="00910B90"/>
    <w:rsid w:val="00971AE9"/>
    <w:rsid w:val="00983C9E"/>
    <w:rsid w:val="009B7175"/>
    <w:rsid w:val="00A20CA8"/>
    <w:rsid w:val="00A4574D"/>
    <w:rsid w:val="00A52E74"/>
    <w:rsid w:val="00A97BCF"/>
    <w:rsid w:val="00AD0366"/>
    <w:rsid w:val="00AD7923"/>
    <w:rsid w:val="00AF5268"/>
    <w:rsid w:val="00AF5FD1"/>
    <w:rsid w:val="00B16579"/>
    <w:rsid w:val="00B32C7D"/>
    <w:rsid w:val="00B80066"/>
    <w:rsid w:val="00C33524"/>
    <w:rsid w:val="00C35E41"/>
    <w:rsid w:val="00C54A88"/>
    <w:rsid w:val="00C76C46"/>
    <w:rsid w:val="00CF50DE"/>
    <w:rsid w:val="00D14C80"/>
    <w:rsid w:val="00D51BD3"/>
    <w:rsid w:val="00D864EF"/>
    <w:rsid w:val="00DB37C5"/>
    <w:rsid w:val="00DC05A1"/>
    <w:rsid w:val="00DE6626"/>
    <w:rsid w:val="00DF355B"/>
    <w:rsid w:val="00E07C5A"/>
    <w:rsid w:val="00E20321"/>
    <w:rsid w:val="00EA5C82"/>
    <w:rsid w:val="00EC3035"/>
    <w:rsid w:val="00F619CF"/>
    <w:rsid w:val="00F74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C02D3"/>
  <w15:docId w15:val="{14ECBAE0-6B29-3546-ACF0-C36CB3B8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4">
    <w:name w:val="heading 4"/>
    <w:basedOn w:val="Normal"/>
    <w:link w:val="Ttulo4Car"/>
    <w:uiPriority w:val="9"/>
    <w:qFormat/>
    <w:rsid w:val="00AD0366"/>
    <w:pPr>
      <w:spacing w:before="100" w:beforeAutospacing="1" w:after="100" w:afterAutospacing="1" w:line="240" w:lineRule="auto"/>
      <w:outlineLvl w:val="3"/>
    </w:pPr>
    <w:rPr>
      <w:rFonts w:ascii="Times" w:hAnsi="Times"/>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10B"/>
    <w:pPr>
      <w:ind w:left="720"/>
      <w:contextualSpacing/>
    </w:pPr>
  </w:style>
  <w:style w:type="character" w:styleId="Hipervnculo">
    <w:name w:val="Hyperlink"/>
    <w:basedOn w:val="Fuentedeprrafopredeter"/>
    <w:uiPriority w:val="99"/>
    <w:unhideWhenUsed/>
    <w:rsid w:val="00C76C46"/>
    <w:rPr>
      <w:color w:val="0563C1" w:themeColor="hyperlink"/>
      <w:u w:val="single"/>
    </w:rPr>
  </w:style>
  <w:style w:type="paragraph" w:styleId="Textodeglobo">
    <w:name w:val="Balloon Text"/>
    <w:basedOn w:val="Normal"/>
    <w:link w:val="TextodegloboCar"/>
    <w:uiPriority w:val="99"/>
    <w:semiHidden/>
    <w:unhideWhenUsed/>
    <w:rsid w:val="00D51BD3"/>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51BD3"/>
    <w:rPr>
      <w:rFonts w:ascii="Lucida Grande" w:hAnsi="Lucida Grande"/>
      <w:sz w:val="18"/>
      <w:szCs w:val="18"/>
    </w:rPr>
  </w:style>
  <w:style w:type="table" w:styleId="Tablaconcuadrcula">
    <w:name w:val="Table Grid"/>
    <w:basedOn w:val="Tablanormal"/>
    <w:uiPriority w:val="39"/>
    <w:rsid w:val="00A4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3882"/>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7A2CDB"/>
    <w:rPr>
      <w:sz w:val="18"/>
      <w:szCs w:val="18"/>
    </w:rPr>
  </w:style>
  <w:style w:type="paragraph" w:styleId="Textocomentario">
    <w:name w:val="annotation text"/>
    <w:basedOn w:val="Normal"/>
    <w:link w:val="TextocomentarioCar"/>
    <w:uiPriority w:val="99"/>
    <w:semiHidden/>
    <w:unhideWhenUsed/>
    <w:rsid w:val="007A2CD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A2CDB"/>
    <w:rPr>
      <w:sz w:val="24"/>
      <w:szCs w:val="24"/>
    </w:rPr>
  </w:style>
  <w:style w:type="paragraph" w:styleId="Asuntodelcomentario">
    <w:name w:val="annotation subject"/>
    <w:basedOn w:val="Textocomentario"/>
    <w:next w:val="Textocomentario"/>
    <w:link w:val="AsuntodelcomentarioCar"/>
    <w:uiPriority w:val="99"/>
    <w:semiHidden/>
    <w:unhideWhenUsed/>
    <w:rsid w:val="007A2CDB"/>
    <w:rPr>
      <w:b/>
      <w:bCs/>
      <w:sz w:val="20"/>
      <w:szCs w:val="20"/>
    </w:rPr>
  </w:style>
  <w:style w:type="character" w:customStyle="1" w:styleId="AsuntodelcomentarioCar">
    <w:name w:val="Asunto del comentario Car"/>
    <w:basedOn w:val="TextocomentarioCar"/>
    <w:link w:val="Asuntodelcomentario"/>
    <w:uiPriority w:val="99"/>
    <w:semiHidden/>
    <w:rsid w:val="007A2CDB"/>
    <w:rPr>
      <w:b/>
      <w:bCs/>
      <w:sz w:val="20"/>
      <w:szCs w:val="20"/>
    </w:rPr>
  </w:style>
  <w:style w:type="character" w:customStyle="1" w:styleId="Ttulo4Car">
    <w:name w:val="Título 4 Car"/>
    <w:basedOn w:val="Fuentedeprrafopredeter"/>
    <w:link w:val="Ttulo4"/>
    <w:uiPriority w:val="9"/>
    <w:rsid w:val="00AD0366"/>
    <w:rPr>
      <w:rFonts w:ascii="Times" w:hAnsi="Times"/>
      <w:b/>
      <w:bCs/>
      <w:sz w:val="24"/>
      <w:szCs w:val="24"/>
      <w:lang w:val="es-ES_tradnl" w:eastAsia="es-ES"/>
    </w:rPr>
  </w:style>
  <w:style w:type="paragraph" w:styleId="Encabezado">
    <w:name w:val="header"/>
    <w:basedOn w:val="Normal"/>
    <w:link w:val="EncabezadoCar"/>
    <w:uiPriority w:val="99"/>
    <w:unhideWhenUsed/>
    <w:rsid w:val="00470C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0C1D"/>
  </w:style>
  <w:style w:type="paragraph" w:styleId="Piedepgina">
    <w:name w:val="footer"/>
    <w:basedOn w:val="Normal"/>
    <w:link w:val="PiedepginaCar"/>
    <w:uiPriority w:val="99"/>
    <w:unhideWhenUsed/>
    <w:rsid w:val="00470C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28883">
      <w:bodyDiv w:val="1"/>
      <w:marLeft w:val="0"/>
      <w:marRight w:val="0"/>
      <w:marTop w:val="0"/>
      <w:marBottom w:val="0"/>
      <w:divBdr>
        <w:top w:val="none" w:sz="0" w:space="0" w:color="auto"/>
        <w:left w:val="none" w:sz="0" w:space="0" w:color="auto"/>
        <w:bottom w:val="none" w:sz="0" w:space="0" w:color="auto"/>
        <w:right w:val="none" w:sz="0" w:space="0" w:color="auto"/>
      </w:divBdr>
    </w:div>
    <w:div w:id="1102258641">
      <w:bodyDiv w:val="1"/>
      <w:marLeft w:val="0"/>
      <w:marRight w:val="0"/>
      <w:marTop w:val="0"/>
      <w:marBottom w:val="0"/>
      <w:divBdr>
        <w:top w:val="none" w:sz="0" w:space="0" w:color="auto"/>
        <w:left w:val="none" w:sz="0" w:space="0" w:color="auto"/>
        <w:bottom w:val="none" w:sz="0" w:space="0" w:color="auto"/>
        <w:right w:val="none" w:sz="0" w:space="0" w:color="auto"/>
      </w:divBdr>
    </w:div>
    <w:div w:id="1681930323">
      <w:bodyDiv w:val="1"/>
      <w:marLeft w:val="0"/>
      <w:marRight w:val="0"/>
      <w:marTop w:val="0"/>
      <w:marBottom w:val="0"/>
      <w:divBdr>
        <w:top w:val="none" w:sz="0" w:space="0" w:color="auto"/>
        <w:left w:val="none" w:sz="0" w:space="0" w:color="auto"/>
        <w:bottom w:val="none" w:sz="0" w:space="0" w:color="auto"/>
        <w:right w:val="none" w:sz="0" w:space="0" w:color="auto"/>
      </w:divBdr>
    </w:div>
    <w:div w:id="2081436896">
      <w:bodyDiv w:val="1"/>
      <w:marLeft w:val="0"/>
      <w:marRight w:val="0"/>
      <w:marTop w:val="0"/>
      <w:marBottom w:val="0"/>
      <w:divBdr>
        <w:top w:val="none" w:sz="0" w:space="0" w:color="auto"/>
        <w:left w:val="none" w:sz="0" w:space="0" w:color="auto"/>
        <w:bottom w:val="none" w:sz="0" w:space="0" w:color="auto"/>
        <w:right w:val="none" w:sz="0" w:space="0" w:color="auto"/>
      </w:divBdr>
    </w:div>
    <w:div w:id="214087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rereton@qub.ac.uk" TargetMode="External"/><Relationship Id="rId3" Type="http://schemas.openxmlformats.org/officeDocument/2006/relationships/settings" Target="settings.xml"/><Relationship Id="rId7" Type="http://schemas.openxmlformats.org/officeDocument/2006/relationships/hyperlink" Target="https://www.cost.eu/wp-content/uploads/2020/06/Vademecum-V8-1-May-20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996</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Brereton</dc:creator>
  <cp:keywords/>
  <dc:description/>
  <cp:lastModifiedBy>Microsoft Office User</cp:lastModifiedBy>
  <cp:revision>14</cp:revision>
  <dcterms:created xsi:type="dcterms:W3CDTF">2020-11-30T21:00:00Z</dcterms:created>
  <dcterms:modified xsi:type="dcterms:W3CDTF">2021-03-04T11:02:00Z</dcterms:modified>
</cp:coreProperties>
</file>